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5F36" w14:textId="77777777" w:rsidR="00B56ECF" w:rsidRDefault="00B56ECF" w:rsidP="00B56ECF">
      <w:pPr>
        <w:spacing w:line="360" w:lineRule="auto"/>
        <w:ind w:left="720"/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</w:pPr>
      <w:r w:rsidRPr="00617FE8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Proceso de implantación de las recomendaciones seleccionadas</w:t>
      </w:r>
      <w:r w:rsidRPr="0092738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 xml:space="preserve">     </w:t>
      </w:r>
    </w:p>
    <w:p w14:paraId="205C85EB" w14:textId="5B155BF5" w:rsidR="00B56ECF" w:rsidRPr="0092738A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 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La </w:t>
      </w:r>
      <w:proofErr w:type="spellStart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Fundació</w:t>
      </w:r>
      <w:proofErr w:type="spellEnd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Salut</w:t>
      </w:r>
      <w:proofErr w:type="spellEnd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Empordà es una institución que comprende c</w:t>
      </w:r>
      <w:r w:rsidR="00C84EB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inco </w:t>
      </w:r>
      <w:r w:rsidR="00C84EBC"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</w:t>
      </w:r>
      <w:r w:rsidR="00650EB9"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en</w:t>
      </w:r>
      <w:r w:rsidR="00C84EBC"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tros</w:t>
      </w:r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 El Hospital de Figueres, el Centro Socio Sanitario Bernat Jaume, el Área Básica de Salud de la Escala</w:t>
      </w:r>
      <w:r w:rsidR="00C84EBC"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el Instituto de Investigación </w:t>
      </w:r>
      <w:proofErr w:type="spellStart"/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Glòria</w:t>
      </w:r>
      <w:proofErr w:type="spellEnd"/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Compte</w:t>
      </w:r>
      <w:proofErr w:type="spellEnd"/>
      <w:r w:rsidR="00C84EBC"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 la Clínica Santa Creu</w:t>
      </w:r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  <w:r w:rsid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Tiene un total de </w:t>
      </w:r>
      <w:r w:rsidR="003012AD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1050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trabajadores, entre ellos </w:t>
      </w:r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313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enfermeras. Es un centro principalmente asistencial y docente que en el último año ha decidido dar un paso adelante en la investigación, inaugurando un instituto de investigación</w:t>
      </w:r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proofErr w:type="spellStart"/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Glòria</w:t>
      </w:r>
      <w:proofErr w:type="spellEnd"/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proofErr w:type="spellStart"/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Compte</w:t>
      </w:r>
      <w:proofErr w:type="spellEnd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. Además, recientemente se ha firmado un acuerdo de colaboración con la </w:t>
      </w:r>
      <w:proofErr w:type="spellStart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Universitat</w:t>
      </w:r>
      <w:proofErr w:type="spellEnd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Girona para la creación de una unidad docente.</w:t>
      </w:r>
    </w:p>
    <w:p w14:paraId="188A400C" w14:textId="77777777" w:rsidR="00B56ECF" w:rsidRPr="0092738A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El proyecto </w:t>
      </w:r>
      <w:proofErr w:type="spellStart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Nursing</w:t>
      </w:r>
      <w:proofErr w:type="spellEnd"/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Research Challenge se alinea con los objetivos de la institución y reafirma el compromiso e implicación de la dirección de enfermería con la investigación. Asimismo, la trayectoria ascendente del número de enfermeras y proyectos de investigación liderados por enfermeras está centrada en la incorporación de los resultados en la práctica asistencial.</w:t>
      </w:r>
    </w:p>
    <w:p w14:paraId="0AC7BE44" w14:textId="3E3D4947" w:rsidR="00B56ECF" w:rsidRPr="0092738A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Con este proyecto, la gerencia y la dirección enfermera se comprometen a seguir avanzando en fomentar la investigación enfermera dentro de nuestra organización. </w:t>
      </w:r>
      <w:r w:rsidR="00C84EB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 este modo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 formar parte del proyecto facilitará la implementación de estrategias para el fomento y la</w:t>
      </w:r>
      <w:r w:rsidR="00C84EB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participación</w:t>
      </w: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del conjunto de profesionales de la institución liderado por enfermería. </w:t>
      </w:r>
    </w:p>
    <w:p w14:paraId="082E7A32" w14:textId="77777777" w:rsidR="00B56ECF" w:rsidRPr="00AC00A3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AC00A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En función de los ejes estratégicos definidos en la convocatoria, se detallan a continuación las recomendaciones seleccionadas para su implantación en nuestro centro.</w:t>
      </w:r>
    </w:p>
    <w:p w14:paraId="7A129685" w14:textId="77777777" w:rsidR="00B56ECF" w:rsidRPr="0092738A" w:rsidRDefault="00B56ECF" w:rsidP="00B56ECF">
      <w:pPr>
        <w:spacing w:line="360" w:lineRule="auto"/>
        <w:ind w:left="720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Eje estratégico 1. Detección del talento.</w:t>
      </w:r>
    </w:p>
    <w:p w14:paraId="36255BA9" w14:textId="77777777" w:rsidR="00B56ECF" w:rsidRDefault="00B56ECF" w:rsidP="00B26D8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Crear un mapa de enfermeras con formación avanzada en investigación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1EB2A0A5" w14:textId="47F972B2" w:rsidR="00B56ECF" w:rsidRPr="000D2B70" w:rsidRDefault="00B56ECF" w:rsidP="00B26D8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9273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Potenciar la figura de enfermeras consultoras y referentes.</w:t>
      </w:r>
    </w:p>
    <w:p w14:paraId="45C9985B" w14:textId="77777777" w:rsidR="00B56ECF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61E6C0A9" w14:textId="20A8FEDF" w:rsidR="00B56ECF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Actualmente en nuestra institución tenemos identificadas tres enfermeras Doctoras. Dos de estas son miembros de la Comisión de investigación, de ellas una es técnica de soporte a la investigación a tiempo parcial.  El propio gerente de la Fundación también es doctor. </w:t>
      </w:r>
      <w:r w:rsidR="00CE4571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Además,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se han incorporado enfermeras referentes en calidad y gestión del conocimiento.</w:t>
      </w:r>
    </w:p>
    <w:p w14:paraId="6C79F8EC" w14:textId="77777777" w:rsidR="00B56ECF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E4F544C" w14:textId="4F11BBE9" w:rsidR="00B56ECF" w:rsidRPr="00734DE0" w:rsidRDefault="00B26D84" w:rsidP="00B26D8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</w:t>
      </w:r>
      <w:r w:rsidR="00B56ECF"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ealizar un mapa de enfermeras con formación avanzada a través de distintas estrategias: un primer envío de correo electrónico general a todas las enfermeras, búsqueda activa personalizada por parte de los mandos intermedios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</w:t>
      </w:r>
      <w:r w:rsidR="00B56ECF"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 través del departamento de Gestión de personas. </w:t>
      </w:r>
    </w:p>
    <w:p w14:paraId="6461A413" w14:textId="0245DF52" w:rsidR="00B56ECF" w:rsidRDefault="00B26D84" w:rsidP="00B26D8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Dar</w:t>
      </w:r>
      <w:r w:rsidR="00B56ECF"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 conocer el mapeo para terminar de captar a aquellos profesionales que no se hayan identificado en las estrategias previas.</w:t>
      </w:r>
    </w:p>
    <w:p w14:paraId="10E05D26" w14:textId="6A822292" w:rsidR="00B56ECF" w:rsidRPr="00734DE0" w:rsidRDefault="00B26D84" w:rsidP="00B26D8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Tener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en cuenta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 estas enfermeras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para asumir roles de liderazgo en nuevos proyectos.</w:t>
      </w:r>
    </w:p>
    <w:p w14:paraId="0A623208" w14:textId="77777777" w:rsidR="00B56ECF" w:rsidRDefault="00B56ECF" w:rsidP="00B26D84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74260B5C" w14:textId="12BA85D6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Dirección de Enfermería</w:t>
      </w:r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 Dirección de inv</w:t>
      </w:r>
      <w:r w:rsidR="00CE4571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estigación</w:t>
      </w:r>
      <w:r w:rsidR="00B26D8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728EB9EF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Eje estratégico 2. Formación.</w:t>
      </w:r>
    </w:p>
    <w:p w14:paraId="68800D38" w14:textId="77777777" w:rsidR="00B56ECF" w:rsidRPr="00C860B8" w:rsidRDefault="00B56ECF" w:rsidP="00EE1A7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Aumentar la formación continuada en metodología de investigación de forma multidisciplinar.</w:t>
      </w:r>
    </w:p>
    <w:p w14:paraId="1387FFE1" w14:textId="77777777" w:rsidR="00B56ECF" w:rsidRDefault="00B56ECF" w:rsidP="00EE1A7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Es necesaria la existencia de enfermeras tractoras y para ello hay que aumentar el número de profesionales con formación avanzada en investigación.</w:t>
      </w:r>
    </w:p>
    <w:p w14:paraId="637008BE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5C0C4F17" w14:textId="172769BE" w:rsidR="00B56ECF" w:rsidRDefault="00B56ECF" w:rsidP="00EE1A76">
      <w:pPr>
        <w:spacing w:line="360" w:lineRule="auto"/>
        <w:ind w:left="708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Actualmente</w:t>
      </w:r>
      <w:r w:rsidR="00EE1A76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disponemos de un plan de formación anual que incluye dos cursos de metodología de investigación.</w:t>
      </w:r>
    </w:p>
    <w:p w14:paraId="5F431F0A" w14:textId="77777777" w:rsidR="00B56ECF" w:rsidRDefault="00B56ECF" w:rsidP="00EE1A76">
      <w:pPr>
        <w:spacing w:line="360" w:lineRule="auto"/>
        <w:ind w:left="708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Tal como se define en el eje estratégico 1 hay enfermeras referentes en distintas áreas de la organización.</w:t>
      </w:r>
    </w:p>
    <w:p w14:paraId="2D0A9BE0" w14:textId="77777777" w:rsidR="00B56ECF" w:rsidRDefault="00B56ECF" w:rsidP="00EE1A76">
      <w:pPr>
        <w:spacing w:line="360" w:lineRule="auto"/>
        <w:ind w:left="708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0B0AA0AB" w14:textId="77777777" w:rsidR="00B56ECF" w:rsidRPr="00734DE0" w:rsidRDefault="00B56ECF" w:rsidP="00EE1A7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 ampliará la oferta de cursos de formació en metodología de la investigación via trayectoria formativa que permita avanzar en la formació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n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 acreditarla.</w:t>
      </w:r>
    </w:p>
    <w:p w14:paraId="31C26DC1" w14:textId="77777777" w:rsidR="00B56ECF" w:rsidRPr="000064FF" w:rsidRDefault="00B56ECF" w:rsidP="00EE1A7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064FF">
        <w:rPr>
          <w:rFonts w:asciiTheme="majorHAnsi" w:hAnsiTheme="majorHAnsi" w:cstheme="majorHAnsi"/>
          <w:sz w:val="24"/>
          <w:szCs w:val="24"/>
        </w:rPr>
        <w:t>Se revisará el modelo actual de financiación y el soporte a la realización de formación reglada en investigación.</w:t>
      </w:r>
    </w:p>
    <w:p w14:paraId="0AF95058" w14:textId="77777777" w:rsidR="00B56ECF" w:rsidRDefault="00B56ECF" w:rsidP="00EE1A76">
      <w:pPr>
        <w:spacing w:line="360" w:lineRule="auto"/>
        <w:ind w:left="708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98C0189" w14:textId="1806C282" w:rsidR="00B56ECF" w:rsidRPr="00EE1A76" w:rsidRDefault="00EE1A76" w:rsidP="00EE1A76">
      <w:pPr>
        <w:spacing w:line="360" w:lineRule="auto"/>
        <w:ind w:left="708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Gerencia, Dirección de investigación, responsable de la 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unidad docen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te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Dirección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Gestión de personas</w:t>
      </w:r>
      <w:r>
        <w:rPr>
          <w:rFonts w:asciiTheme="majorHAnsi" w:hAnsiTheme="majorHAnsi" w:cstheme="majorHAnsi"/>
          <w:sz w:val="24"/>
          <w:szCs w:val="24"/>
        </w:rPr>
        <w:t xml:space="preserve"> y</w:t>
      </w:r>
      <w:r w:rsidR="00B56ECF" w:rsidRPr="000064FF">
        <w:rPr>
          <w:rFonts w:asciiTheme="majorHAnsi" w:hAnsiTheme="majorHAnsi" w:cstheme="majorHAnsi"/>
          <w:sz w:val="24"/>
          <w:szCs w:val="24"/>
        </w:rPr>
        <w:t xml:space="preserve"> Dirección enfermera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2395C6" w14:textId="77777777" w:rsidR="00B56ECF" w:rsidRPr="00C860B8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Eje estratégico 3. Difusión del conocimiento.</w:t>
      </w:r>
    </w:p>
    <w:p w14:paraId="0F359ED4" w14:textId="77777777" w:rsidR="00B56ECF" w:rsidRPr="00DC7C49" w:rsidRDefault="00B56ECF" w:rsidP="00EE1A7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Crear un repositorio web, dónde poder consultar los proyectos de investigación en los que se está trabajando o se ha trabajado en la organización.</w:t>
      </w:r>
    </w:p>
    <w:p w14:paraId="171AF2F3" w14:textId="5660A135" w:rsidR="00B56ECF" w:rsidRPr="00DC7C49" w:rsidRDefault="00B56ECF" w:rsidP="00EE1A7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Mejorar la difusión de convocatorias, premios, recursos de las instituciones</w:t>
      </w:r>
      <w:r w:rsidR="00EE1A76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…</w:t>
      </w:r>
    </w:p>
    <w:p w14:paraId="7FE71623" w14:textId="507628E0" w:rsidR="00B56ECF" w:rsidRPr="00DC7C49" w:rsidRDefault="00EE1A76" w:rsidP="00EE1A7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V</w:t>
      </w:r>
      <w:r w:rsidR="00B56ECF"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isib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ilizar</w:t>
      </w:r>
      <w:r w:rsidR="00B56ECF"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los cambios producidos por la implantación de los resultados obtenidos a través de la investigación en la práctica clínica diaria (implantación de buenas prácticas basadas en la evidencia).</w:t>
      </w:r>
    </w:p>
    <w:p w14:paraId="5F492FF4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5C18B92" w14:textId="19787C84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 través de la intranet de la institución se pueden consultar las investigaciones que ya han sido publicadas y las líneas de </w:t>
      </w:r>
      <w:r w:rsidR="00CE4571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investigación,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así como las convocatorias y becas disponibles.</w:t>
      </w:r>
    </w:p>
    <w:p w14:paraId="3D14110B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Se ha creado la página web del </w:t>
      </w:r>
      <w:r w:rsidRPr="000064FF">
        <w:rPr>
          <w:rFonts w:asciiTheme="majorHAnsi" w:hAnsiTheme="majorHAnsi" w:cstheme="majorHAnsi"/>
          <w:sz w:val="24"/>
          <w:szCs w:val="24"/>
        </w:rPr>
        <w:t>Instituto de investigación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 donde se pueden consultar las últimas publicaciones realizadas por los profesionales de la Institución.</w:t>
      </w:r>
    </w:p>
    <w:p w14:paraId="45DEA4E5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0968AD20" w14:textId="77777777" w:rsidR="00B56ECF" w:rsidRPr="00734DE0" w:rsidRDefault="00B56ECF" w:rsidP="00EE1A7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Se aumentará la difusión y el acceso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 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los proyectos de investigación en los que se está trabajando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así como la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difusión de convocatorias, premios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y 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recursos de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otras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instituciones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 través de una nueva intranet.</w:t>
      </w:r>
    </w:p>
    <w:p w14:paraId="0FC6667E" w14:textId="77777777" w:rsidR="00B56ECF" w:rsidRPr="00734DE0" w:rsidRDefault="00B56ECF" w:rsidP="00EE1A7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 revisará y actualizará el modelo de implantación y translación de la investigación a la práctica asistencial.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 su vez se monitorizarán los resultados de esta implementación.</w:t>
      </w:r>
    </w:p>
    <w:p w14:paraId="49569649" w14:textId="77777777" w:rsidR="00B56EC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9D0564C" w14:textId="234C5182" w:rsidR="00B56ECF" w:rsidRPr="000064FF" w:rsidRDefault="00B56ECF" w:rsidP="00EE1A76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0064FF">
        <w:rPr>
          <w:rFonts w:asciiTheme="majorHAnsi" w:hAnsiTheme="majorHAnsi" w:cstheme="majorHAnsi"/>
          <w:sz w:val="24"/>
          <w:szCs w:val="24"/>
        </w:rPr>
        <w:t>Gerencia, Dirección enfermera, Dirección de comunicación</w:t>
      </w:r>
      <w:r w:rsidR="00EE1A76">
        <w:rPr>
          <w:rFonts w:asciiTheme="majorHAnsi" w:hAnsiTheme="majorHAnsi" w:cstheme="majorHAnsi"/>
          <w:sz w:val="24"/>
          <w:szCs w:val="24"/>
        </w:rPr>
        <w:t>,</w:t>
      </w:r>
      <w:r w:rsidRPr="000064FF">
        <w:rPr>
          <w:rFonts w:asciiTheme="majorHAnsi" w:hAnsiTheme="majorHAnsi" w:cstheme="majorHAnsi"/>
          <w:sz w:val="24"/>
          <w:szCs w:val="24"/>
        </w:rPr>
        <w:t xml:space="preserve"> </w:t>
      </w:r>
      <w:r w:rsidR="00EE1A76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Dirección de investigación</w:t>
      </w:r>
      <w:r w:rsidRPr="000064FF">
        <w:rPr>
          <w:rFonts w:asciiTheme="majorHAnsi" w:hAnsiTheme="majorHAnsi" w:cstheme="majorHAnsi"/>
          <w:sz w:val="24"/>
          <w:szCs w:val="24"/>
        </w:rPr>
        <w:t>.</w:t>
      </w:r>
    </w:p>
    <w:p w14:paraId="688B6B09" w14:textId="77777777" w:rsidR="00B56ECF" w:rsidRPr="00C860B8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Eje estratégico 4. Fomentar la investigación enfermera dentro de equipos multidisciplinares y multicéntricos.</w:t>
      </w:r>
    </w:p>
    <w:p w14:paraId="479638C5" w14:textId="77777777" w:rsidR="00B56ECF" w:rsidRPr="00DC7C49" w:rsidRDefault="00B56ECF" w:rsidP="00ED298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Potenciar la generación de proyectos </w:t>
      </w:r>
      <w:r w:rsidRPr="001B23CA">
        <w:rPr>
          <w:rFonts w:asciiTheme="majorHAnsi" w:hAnsiTheme="majorHAnsi" w:cstheme="majorHAnsi"/>
          <w:i/>
          <w:iCs/>
          <w:color w:val="404040" w:themeColor="text1" w:themeTint="BF"/>
          <w:sz w:val="24"/>
          <w:szCs w:val="24"/>
        </w:rPr>
        <w:t>Bottom up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 siendo enlace entre grupos o diferentes iniciativas.</w:t>
      </w:r>
    </w:p>
    <w:p w14:paraId="690CCB1C" w14:textId="6641DCAD" w:rsidR="00B56ECF" w:rsidRPr="00DC7C49" w:rsidRDefault="00B56ECF" w:rsidP="00ED298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Crear equipos de trabajo conjuntos y la realización de proyectos multicéntricos. Configurar grupos de investigación, grupos de apoyo, grupos de alto rendimiento para temas concretos</w:t>
      </w:r>
      <w:r w:rsidR="00ED29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…</w:t>
      </w:r>
    </w:p>
    <w:p w14:paraId="2AD8E071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5D271EC6" w14:textId="291F746B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Actualmente</w:t>
      </w:r>
      <w:r w:rsidR="00ED29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hay iniciados proyectos de investigación que surgen de la práctica clínica, pero estos suelen ser observacionales y de una sola especialidad.</w:t>
      </w:r>
    </w:p>
    <w:p w14:paraId="40D475F6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Se participa en estudios multicéntricos y a nivel internacional como centro colaborador.</w:t>
      </w:r>
    </w:p>
    <w:p w14:paraId="31BE24A7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6690DCAE" w14:textId="47EE6AA4" w:rsidR="00B56ECF" w:rsidRPr="00734DE0" w:rsidRDefault="00B56ECF" w:rsidP="00ED298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Favorecer la colaboración en los proyectos de investigación entre diferentes servicios asistenciales y potenciar que estos estudios sean de mayor </w:t>
      </w:r>
      <w:r w:rsidR="00ED298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evidencia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científica.</w:t>
      </w:r>
    </w:p>
    <w:p w14:paraId="5E6EDA06" w14:textId="77777777" w:rsidR="00B56ECF" w:rsidRPr="00734DE0" w:rsidRDefault="00B56ECF" w:rsidP="00ED298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Promover la generación de estudios multicéntricos des de la institución.</w:t>
      </w:r>
    </w:p>
    <w:p w14:paraId="5DAEF7B6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C61F1A9" w14:textId="152941E4" w:rsidR="00B56ECF" w:rsidRPr="0092738A" w:rsidRDefault="00ED298A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lastRenderedPageBreak/>
        <w:t>Dirección de investigación</w:t>
      </w:r>
      <w:r w:rsidRPr="000064FF">
        <w:rPr>
          <w:rFonts w:asciiTheme="majorHAnsi" w:hAnsiTheme="majorHAnsi" w:cstheme="majorHAnsi"/>
          <w:sz w:val="24"/>
          <w:szCs w:val="24"/>
        </w:rPr>
        <w:t xml:space="preserve"> </w:t>
      </w:r>
      <w:r w:rsidR="00B56ECF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y Dirección enfermera.</w:t>
      </w:r>
    </w:p>
    <w:p w14:paraId="7480B37D" w14:textId="77777777" w:rsidR="00B56ECF" w:rsidRPr="00C860B8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Eje estratégico 5. Recursos destinados al fomento de la investigación en enfermería.</w:t>
      </w:r>
    </w:p>
    <w:p w14:paraId="0872AD1D" w14:textId="77777777" w:rsidR="00B56ECF" w:rsidRPr="00DC7C49" w:rsidRDefault="00B56ECF" w:rsidP="00ED29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Facilitar la asistencia a foros científicos (jornadas, congresos…) así como la formación continuada. </w:t>
      </w:r>
    </w:p>
    <w:p w14:paraId="3267D7D3" w14:textId="77777777" w:rsidR="00B56ECF" w:rsidRPr="000064FF" w:rsidRDefault="00B56ECF" w:rsidP="00ED29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064FF">
        <w:rPr>
          <w:rFonts w:asciiTheme="majorHAnsi" w:hAnsiTheme="majorHAnsi" w:cstheme="majorHAnsi"/>
          <w:sz w:val="24"/>
          <w:szCs w:val="24"/>
        </w:rPr>
        <w:t>Implicación de los mandos intermedios para ello sería importante que, para acceder a dichos puestos, se tuvieran en cuenta los méritos relacionados con la formación y la investigación.</w:t>
      </w:r>
    </w:p>
    <w:p w14:paraId="54CF8C86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394EC679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La FSE dispone de un programa formativo que incluye dos cursos anuales relacionados con la investigación.</w:t>
      </w:r>
    </w:p>
    <w:p w14:paraId="1E20E8F9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La institución facilita la asistencia a cursos o congresos a todos los profesionales a través de una bolsa de horas de formación. También financia la inscripción a congresos del primer autor de la publicación presentada.</w:t>
      </w:r>
    </w:p>
    <w:p w14:paraId="6F966A34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Actualmente hay un equipo de mandos intermedios de enfermería con diferentes perfiles formativos.</w:t>
      </w:r>
    </w:p>
    <w:p w14:paraId="78752D3F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60886D79" w14:textId="3F597E77" w:rsidR="00737407" w:rsidRDefault="00737407" w:rsidP="00ED298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Revisar el modelo actual para mejorar la asistencia a foros científicos.</w:t>
      </w:r>
    </w:p>
    <w:p w14:paraId="4255BA81" w14:textId="4ACAC8DC" w:rsidR="00B56ECF" w:rsidRPr="008A5F73" w:rsidRDefault="00B56ECF" w:rsidP="00ED298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5F73">
        <w:rPr>
          <w:rFonts w:asciiTheme="majorHAnsi" w:hAnsiTheme="majorHAnsi" w:cstheme="majorHAnsi"/>
          <w:sz w:val="24"/>
          <w:szCs w:val="24"/>
        </w:rPr>
        <w:t>Elaborar el mapa de las competencias en investigación de los mandos intermedios de enfermería y favorecer la capacitación investigadora.</w:t>
      </w:r>
    </w:p>
    <w:p w14:paraId="6DE0C100" w14:textId="4C7F4D71" w:rsidR="00B56ECF" w:rsidRPr="008A5F73" w:rsidRDefault="00737407" w:rsidP="00ED298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Crear</w:t>
      </w:r>
      <w:r w:rsidR="00B56ECF" w:rsidRPr="008A5F73">
        <w:rPr>
          <w:rFonts w:asciiTheme="majorHAnsi" w:hAnsiTheme="majorHAnsi" w:cstheme="majorHAnsi"/>
          <w:sz w:val="24"/>
          <w:szCs w:val="24"/>
        </w:rPr>
        <w:t xml:space="preserve"> un sistema de selección para las nuevas incorporaciones de los mandos intermedios de enfermería que incluyan los méritos en formación e investigación.</w:t>
      </w:r>
    </w:p>
    <w:p w14:paraId="62590A8B" w14:textId="77777777" w:rsidR="00B56ECF" w:rsidRPr="008A5F73" w:rsidRDefault="00B56ECF" w:rsidP="00ED298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A5F73">
        <w:rPr>
          <w:rFonts w:asciiTheme="majorHAnsi" w:hAnsiTheme="majorHAnsi" w:cstheme="majorHAnsi"/>
          <w:sz w:val="24"/>
          <w:szCs w:val="24"/>
        </w:rPr>
        <w:t>Asegurar la capacitación de los mandos intermedios en la promoción de la investigación y/o el liderazgo de proyectos.</w:t>
      </w:r>
    </w:p>
    <w:p w14:paraId="0CF665EB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63B09FAB" w14:textId="1B73B2A9" w:rsidR="00B56ECF" w:rsidRPr="008A5F73" w:rsidRDefault="006C7062" w:rsidP="00ED298A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Gerencia, </w:t>
      </w:r>
      <w:r w:rsidR="00B56ECF" w:rsidRPr="008A5F73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irección</w:t>
      </w:r>
      <w:r w:rsidR="00B56ECF" w:rsidRPr="008A5F73">
        <w:rPr>
          <w:rFonts w:asciiTheme="majorHAnsi" w:hAnsiTheme="majorHAnsi" w:cstheme="majorHAnsi"/>
          <w:sz w:val="24"/>
          <w:szCs w:val="24"/>
        </w:rPr>
        <w:t xml:space="preserve"> de Gestión de personas, Dirección de enfermería</w:t>
      </w:r>
      <w:r w:rsidRPr="006C706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y Dirección de investigación</w:t>
      </w:r>
      <w:r w:rsidR="00B56ECF" w:rsidRPr="008A5F73">
        <w:rPr>
          <w:rFonts w:asciiTheme="majorHAnsi" w:hAnsiTheme="majorHAnsi" w:cstheme="majorHAnsi"/>
          <w:sz w:val="24"/>
          <w:szCs w:val="24"/>
        </w:rPr>
        <w:t>.</w:t>
      </w:r>
    </w:p>
    <w:p w14:paraId="09EA3EE9" w14:textId="77777777" w:rsidR="00B56ECF" w:rsidRPr="00C860B8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</w:pPr>
      <w:r w:rsidRPr="00C860B8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lastRenderedPageBreak/>
        <w:t>Eje estratégico 6. Incorporación de la perspectiva del paciente. Traslación de los resultados.</w:t>
      </w:r>
    </w:p>
    <w:p w14:paraId="7A7C37AC" w14:textId="77777777" w:rsidR="00B56ECF" w:rsidRPr="00DC7C49" w:rsidRDefault="00B56ECF" w:rsidP="00ED298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Incorporar la perspectiva del paciente en las investigaciones que se desarrollen y contar con su participación en la selección de las temáticas de interés.</w:t>
      </w:r>
    </w:p>
    <w:p w14:paraId="0A70C92F" w14:textId="77777777" w:rsidR="00B56ECF" w:rsidRPr="00DC7C49" w:rsidRDefault="00B56ECF" w:rsidP="00ED298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Impulsar la traslación a la práctica clínica de los resultados de la investigación e innovación.</w:t>
      </w:r>
    </w:p>
    <w:p w14:paraId="23E2C1C1" w14:textId="77777777" w:rsidR="00B56ECF" w:rsidRPr="00DC7C49" w:rsidRDefault="00B56ECF" w:rsidP="00ED298A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DC7C49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Vincular la práctica clínica y la investigación. Cualquier implantación en la práctica clínica requiere evaluar esa ejecución y eso debe hacerse con calidad metodológica y rigor científico. Esta puede ser una importante fuente de proyectos de investigación.</w:t>
      </w:r>
    </w:p>
    <w:p w14:paraId="4D2FCCFF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Situación basal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3DD84235" w14:textId="6F4899E5" w:rsidR="00B56ECF" w:rsidRPr="008A5F73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8A5F7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Formación de profesionales en Experiencia reportada por el paciente</w:t>
      </w:r>
      <w:r w:rsidRPr="008A5F73">
        <w:rPr>
          <w:rFonts w:asciiTheme="majorHAnsi" w:hAnsiTheme="majorHAnsi" w:cstheme="majorHAnsi"/>
          <w:color w:val="202124"/>
          <w:shd w:val="clear" w:color="auto" w:fill="FFFFFF"/>
        </w:rPr>
        <w:t xml:space="preserve"> y Resultados Reportados por el Paciente </w:t>
      </w:r>
      <w:r w:rsidRPr="008A5F7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 través de diferentes cursos y jornadas. </w:t>
      </w:r>
    </w:p>
    <w:p w14:paraId="2C70B07D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Realización de una Jornada científica anual donde se divulgan los resultados de las investigaciones de los profesionales.</w:t>
      </w:r>
    </w:p>
    <w:p w14:paraId="7A2F7EF4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Difusión en redes sociales corporativas de los resultados obtenidos en la investigación.</w:t>
      </w:r>
    </w:p>
    <w:p w14:paraId="0B2644CA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Creación de una unidad de Gestión del conocimiento liderada por enfermeras.</w:t>
      </w:r>
    </w:p>
    <w:p w14:paraId="5629AD75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Acciones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17F04490" w14:textId="77777777" w:rsidR="00B56ECF" w:rsidRPr="00734DE0" w:rsidRDefault="00B56ECF" w:rsidP="00ED298A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Analizar la experiencia del paciente para detectar puntos de mejora.</w:t>
      </w:r>
    </w:p>
    <w:p w14:paraId="778300BB" w14:textId="3845DBF4" w:rsidR="00B56ECF" w:rsidRPr="00734DE0" w:rsidRDefault="00B56ECF" w:rsidP="00ED298A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Incorporar en el documento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experiencia del paciente,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una 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pregunta </w:t>
      </w:r>
      <w:r w:rsidR="00F9114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en relación con</w:t>
      </w: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qué línea de investigación considera prioritaria.</w:t>
      </w:r>
    </w:p>
    <w:p w14:paraId="77BFFD84" w14:textId="77777777" w:rsidR="00B56ECF" w:rsidRPr="00734DE0" w:rsidRDefault="00B56ECF" w:rsidP="00ED298A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Incorporar a las asociaciones de pacientes en las investigaciones futuras.</w:t>
      </w:r>
    </w:p>
    <w:p w14:paraId="1B6DAD43" w14:textId="786C44AA" w:rsidR="00B56ECF" w:rsidRPr="008A5F73" w:rsidRDefault="00B56ECF" w:rsidP="00ED298A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734DE0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Crear un circuito de fácil implementación que garantice la translación de los resultados de la investigación a la práctica asistencial y que permita su monitorización</w:t>
      </w:r>
      <w:r w:rsidR="00E96868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ev</w:t>
      </w:r>
      <w:r w:rsidRPr="008A5F73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aluación y propuestas de mejora.</w:t>
      </w:r>
    </w:p>
    <w:p w14:paraId="599CA400" w14:textId="77777777" w:rsidR="00B56ECF" w:rsidRDefault="00B56ECF" w:rsidP="00ED298A">
      <w:pPr>
        <w:spacing w:line="360" w:lineRule="auto"/>
        <w:ind w:left="72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418E4">
        <w:rPr>
          <w:rFonts w:asciiTheme="majorHAnsi" w:hAnsiTheme="majorHAnsi" w:cstheme="majorHAnsi"/>
          <w:color w:val="404040" w:themeColor="text1" w:themeTint="BF"/>
          <w:sz w:val="24"/>
          <w:szCs w:val="24"/>
          <w:u w:val="single"/>
        </w:rPr>
        <w:t>Responsables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:</w:t>
      </w:r>
    </w:p>
    <w:p w14:paraId="4ECC5E0D" w14:textId="36FF921D" w:rsidR="00DD0B9D" w:rsidRPr="00DD0B9D" w:rsidRDefault="009D6F2A" w:rsidP="00ED298A">
      <w:pPr>
        <w:jc w:val="both"/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Gerencia, </w:t>
      </w:r>
      <w:r w:rsidR="00B56ECF" w:rsidRPr="008A5F73">
        <w:rPr>
          <w:rFonts w:asciiTheme="majorHAnsi" w:hAnsiTheme="majorHAnsi" w:cstheme="majorHAnsi"/>
          <w:sz w:val="24"/>
          <w:szCs w:val="24"/>
        </w:rPr>
        <w:t>Dirección enfermera,</w:t>
      </w:r>
      <w:r w:rsidRPr="009D6F2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Dirección de investigación</w:t>
      </w:r>
      <w:r w:rsidR="00B56ECF" w:rsidRPr="008A5F73">
        <w:rPr>
          <w:rFonts w:asciiTheme="majorHAnsi" w:hAnsiTheme="majorHAnsi" w:cstheme="majorHAnsi"/>
          <w:sz w:val="24"/>
          <w:szCs w:val="24"/>
        </w:rPr>
        <w:t xml:space="preserve">, departamento de calidad </w:t>
      </w:r>
      <w:r w:rsidR="00F91140">
        <w:rPr>
          <w:rFonts w:asciiTheme="majorHAnsi" w:hAnsiTheme="majorHAnsi" w:cstheme="majorHAnsi"/>
          <w:sz w:val="24"/>
          <w:szCs w:val="24"/>
        </w:rPr>
        <w:t>y</w:t>
      </w:r>
      <w:r w:rsidR="00B56ECF" w:rsidRPr="008A5F73">
        <w:rPr>
          <w:rFonts w:asciiTheme="majorHAnsi" w:hAnsiTheme="majorHAnsi" w:cstheme="majorHAnsi"/>
          <w:sz w:val="24"/>
          <w:szCs w:val="24"/>
        </w:rPr>
        <w:t xml:space="preserve"> de gestión del conocimiento</w:t>
      </w:r>
      <w:r w:rsidR="00F91140">
        <w:rPr>
          <w:rFonts w:asciiTheme="majorHAnsi" w:hAnsiTheme="majorHAnsi" w:cstheme="majorHAnsi"/>
          <w:sz w:val="24"/>
          <w:szCs w:val="24"/>
        </w:rPr>
        <w:t xml:space="preserve"> y unidad de atención al ciudadano</w:t>
      </w:r>
      <w:r w:rsidR="00B56ECF" w:rsidRPr="008A5F73">
        <w:rPr>
          <w:rFonts w:asciiTheme="majorHAnsi" w:hAnsiTheme="majorHAnsi" w:cstheme="majorHAnsi"/>
          <w:sz w:val="24"/>
          <w:szCs w:val="24"/>
        </w:rPr>
        <w:t>.</w:t>
      </w:r>
    </w:p>
    <w:p w14:paraId="63E9558E" w14:textId="0E508E77" w:rsidR="00DD0B9D" w:rsidRPr="00DD0B9D" w:rsidRDefault="000E3D3A" w:rsidP="00DD0B9D">
      <w:r w:rsidRPr="006B278B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4"/>
        </w:rPr>
        <w:t>Cronograma por ejes a 2 años vista</w:t>
      </w:r>
    </w:p>
    <w:p w14:paraId="2CCA6E51" w14:textId="6CF6E660" w:rsidR="00DD0B9D" w:rsidRPr="00DD0B9D" w:rsidRDefault="00DD0B9D" w:rsidP="00DD0B9D"/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80"/>
        <w:gridCol w:w="800"/>
        <w:gridCol w:w="760"/>
        <w:gridCol w:w="800"/>
        <w:gridCol w:w="760"/>
        <w:gridCol w:w="800"/>
        <w:gridCol w:w="760"/>
        <w:gridCol w:w="800"/>
      </w:tblGrid>
      <w:tr w:rsidR="007D0CA2" w:rsidRPr="007D0CA2" w14:paraId="04292294" w14:textId="77777777" w:rsidTr="007D0CA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A525" w14:textId="77777777" w:rsidR="007D0CA2" w:rsidRPr="007D0CA2" w:rsidRDefault="007D0CA2" w:rsidP="007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DE3768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1r TRIM 2023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08F1E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2o 2023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7F1F89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3r 2023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E96FA3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4o 2023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6C81C6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1r 2024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BB86A9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2o 2024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29D34C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3r 2024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9BAC2E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4o 2024</w:t>
            </w:r>
          </w:p>
        </w:tc>
      </w:tr>
      <w:tr w:rsidR="007D0CA2" w:rsidRPr="007D0CA2" w14:paraId="1DFD43E8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204548" w14:textId="77777777" w:rsidR="007D0CA2" w:rsidRPr="007D0CA2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b/>
                <w:bCs/>
                <w:color w:val="000000"/>
                <w:lang w:val="ca-ES" w:eastAsia="ca-ES"/>
              </w:rPr>
              <w:t>EJE Nº1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0EB9DE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3349DED4" w14:textId="77777777" w:rsidTr="007D0CA2">
        <w:trPr>
          <w:trHeight w:val="12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CEFC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Crear un mapa de enfermeras con formación avanzada en investigación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6B59C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9C57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5F5ADE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9C57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2DC600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9C57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F30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9F53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9A8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816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2DD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0AD86857" w14:textId="77777777" w:rsidTr="007D0CA2">
        <w:trPr>
          <w:trHeight w:val="9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496D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Potenciar la figura de enfermeras consultoras y referentes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F58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8727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840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749F400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61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B22790A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48A7B0D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F9F9CD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29505BA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49E84B59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278934" w14:textId="77777777" w:rsidR="007D0CA2" w:rsidRPr="00CE4571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EJE Nº2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C76131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204B59F3" w14:textId="77777777" w:rsidTr="007D0CA2">
        <w:trPr>
          <w:trHeight w:val="12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7829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Aumentar la formación continuada en metodología de investigación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AD23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EBF57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341F88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AA8DAD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0A2DEA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9064D1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7874AE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320E705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155B922E" w14:textId="77777777" w:rsidTr="007D0CA2">
        <w:trPr>
          <w:trHeight w:val="6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7C6D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Existencia de enfermeras tractoras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A00E1B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49F79A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5ACA7F7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B45A1D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F1EAE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CD1D4C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E9B8BD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0F60F31E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05954D98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039EBD" w14:textId="77777777" w:rsidR="007D0CA2" w:rsidRPr="00CE4571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EJE Nº3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EDA30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7E10A1B4" w14:textId="77777777" w:rsidTr="007D0CA2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7D36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Crear un repositorio web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654E9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1455B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2A57D3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838E1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A0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7FC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606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581A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7D0CA2" w14:paraId="08C66C9C" w14:textId="77777777" w:rsidTr="007D0CA2">
        <w:trPr>
          <w:trHeight w:val="12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6270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Mejorar la difusión de convocatorias, premios, recursos de las instituciones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39D4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5D5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F2D9C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9A9AF1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36C0A2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88B95A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3B9BDE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FD77C3F" w14:textId="77777777" w:rsidR="007D0CA2" w:rsidRPr="007D0CA2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7D0CA2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0FC55DCE" w14:textId="77777777" w:rsidTr="007D0CA2">
        <w:trPr>
          <w:trHeight w:val="21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498E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Hacer visibles los cambios producidos por la implantación de los resultados obtenidos a través de la investigación en la práctica clínica diaria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9EDB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225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EA80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FF3F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106B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EEAE8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A9C909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59211E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3E5A535F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AC529F" w14:textId="77777777" w:rsidR="007D0CA2" w:rsidRPr="00CE4571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EJE Nº4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EA6CBC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48D63F73" w14:textId="77777777" w:rsidTr="007D0CA2">
        <w:trPr>
          <w:trHeight w:val="6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2CB8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Potenciar la generación de proyectos Bottom 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541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56D0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315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D742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99D42C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6D639D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9370C1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4759531C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316409FF" w14:textId="77777777" w:rsidTr="007D0CA2">
        <w:trPr>
          <w:trHeight w:val="12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F64B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Crear equipos de trabajo conjuntos y la realización de proyectos multicéntricos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B1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9451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D06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C553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636ED0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BF8F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30D4C8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BF8F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05FB3F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BF8F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287736D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BF8F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BF8F00"/>
                <w:lang w:val="ca-ES" w:eastAsia="ca-ES"/>
              </w:rPr>
              <w:t> </w:t>
            </w:r>
          </w:p>
        </w:tc>
      </w:tr>
      <w:tr w:rsidR="007D0CA2" w:rsidRPr="00CE4571" w14:paraId="20C650B6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E0369A" w14:textId="77777777" w:rsidR="007D0CA2" w:rsidRPr="00CE4571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EJE Nº5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59BB046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5557DE04" w14:textId="77777777" w:rsidTr="007D0CA2">
        <w:trPr>
          <w:trHeight w:val="9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2371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lastRenderedPageBreak/>
              <w:t>Facilitar la asistencia a foros científicos y la formación continuada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9146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0191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E216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C3F422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79B178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99F866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DB368D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7C5C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16651A90" w14:textId="77777777" w:rsidTr="007D0CA2">
        <w:trPr>
          <w:trHeight w:val="6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1E64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Implicación de los mandos intermedios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9B1F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E85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9FE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36E3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A2F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CB4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7C2BD9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7AB017F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3C8883F0" w14:textId="77777777" w:rsidTr="007D0CA2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B8CD58" w14:textId="77777777" w:rsidR="007D0CA2" w:rsidRPr="00CE4571" w:rsidRDefault="007D0CA2" w:rsidP="007D0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EJE Nº6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AA8A4D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1DC3C384" w14:textId="77777777" w:rsidTr="007D0CA2">
        <w:trPr>
          <w:trHeight w:val="9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7177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Incorporar la perspectiva del paciente en las investigaciones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D5EB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839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3548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B680DE8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FFF2CC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1EA55C6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FFF2CC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5E95443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FFF2CC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352652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FFF2CC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3B00838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FFF2CC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FFF2CC"/>
                <w:lang w:val="ca-ES" w:eastAsia="ca-ES"/>
              </w:rPr>
              <w:t> </w:t>
            </w:r>
          </w:p>
        </w:tc>
      </w:tr>
      <w:tr w:rsidR="007D0CA2" w:rsidRPr="00CE4571" w14:paraId="32A419D7" w14:textId="77777777" w:rsidTr="007D0CA2">
        <w:trPr>
          <w:trHeight w:val="15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6C20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Impulsar la traslación a la práctica clínica de los resultados de la investigación e innovación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0B47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5BD0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1D2A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778D5F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71B50206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481BA148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14:paraId="67071FCB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7171"/>
            <w:noWrap/>
            <w:vAlign w:val="bottom"/>
            <w:hideMark/>
          </w:tcPr>
          <w:p w14:paraId="175BAA61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  <w:tr w:rsidR="007D0CA2" w:rsidRPr="00CE4571" w14:paraId="48F534FD" w14:textId="77777777" w:rsidTr="007D0CA2">
        <w:trPr>
          <w:trHeight w:val="6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1556" w14:textId="77777777" w:rsidR="007D0CA2" w:rsidRPr="00CE4571" w:rsidRDefault="007D0CA2" w:rsidP="007D0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CE4571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Vincular la práctica clínica y la investigación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61FA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969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6EA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639C48E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1365009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BA9119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0145054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bottom"/>
            <w:hideMark/>
          </w:tcPr>
          <w:p w14:paraId="365A8035" w14:textId="77777777" w:rsidR="007D0CA2" w:rsidRPr="00CE4571" w:rsidRDefault="007D0CA2" w:rsidP="007D0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a-ES" w:eastAsia="ca-ES"/>
              </w:rPr>
            </w:pPr>
            <w:r w:rsidRPr="00CE4571">
              <w:rPr>
                <w:rFonts w:ascii="Calibri" w:eastAsia="Times New Roman" w:hAnsi="Calibri" w:cs="Calibri"/>
                <w:color w:val="000000"/>
                <w:lang w:val="ca-ES" w:eastAsia="ca-ES"/>
              </w:rPr>
              <w:t> </w:t>
            </w:r>
          </w:p>
        </w:tc>
      </w:tr>
    </w:tbl>
    <w:p w14:paraId="56F0DF9E" w14:textId="71BF9C38" w:rsidR="00DD0B9D" w:rsidRPr="00CE4571" w:rsidRDefault="00DD0B9D" w:rsidP="00DD0B9D">
      <w:pPr>
        <w:rPr>
          <w:lang w:val="ca-ES"/>
        </w:rPr>
      </w:pPr>
    </w:p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80D" w14:textId="77777777" w:rsidR="00B032F9" w:rsidRDefault="00B032F9" w:rsidP="005552A4">
      <w:pPr>
        <w:spacing w:after="0" w:line="240" w:lineRule="auto"/>
      </w:pPr>
      <w:r>
        <w:separator/>
      </w:r>
    </w:p>
  </w:endnote>
  <w:endnote w:type="continuationSeparator" w:id="0">
    <w:p w14:paraId="5FD5A5A9" w14:textId="77777777" w:rsidR="00B032F9" w:rsidRDefault="00B032F9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4421" w14:textId="77777777" w:rsidR="00B032F9" w:rsidRDefault="00B032F9" w:rsidP="005552A4">
      <w:pPr>
        <w:spacing w:after="0" w:line="240" w:lineRule="auto"/>
      </w:pPr>
      <w:r>
        <w:separator/>
      </w:r>
    </w:p>
  </w:footnote>
  <w:footnote w:type="continuationSeparator" w:id="0">
    <w:p w14:paraId="61FF1A04" w14:textId="77777777" w:rsidR="00B032F9" w:rsidRDefault="00B032F9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FB"/>
    <w:multiLevelType w:val="hybridMultilevel"/>
    <w:tmpl w:val="04CC737C"/>
    <w:lvl w:ilvl="0" w:tplc="2376A8CC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54D5E"/>
    <w:multiLevelType w:val="hybridMultilevel"/>
    <w:tmpl w:val="AC32778C"/>
    <w:lvl w:ilvl="0" w:tplc="97CE5142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427F"/>
    <w:multiLevelType w:val="hybridMultilevel"/>
    <w:tmpl w:val="9806A50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F395F"/>
    <w:multiLevelType w:val="hybridMultilevel"/>
    <w:tmpl w:val="141A8B30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42C05"/>
    <w:multiLevelType w:val="hybridMultilevel"/>
    <w:tmpl w:val="FD74F16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37D3A"/>
    <w:multiLevelType w:val="hybridMultilevel"/>
    <w:tmpl w:val="C9009F52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97040"/>
    <w:multiLevelType w:val="hybridMultilevel"/>
    <w:tmpl w:val="C6CC3DD8"/>
    <w:lvl w:ilvl="0" w:tplc="AD066BE6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546FA"/>
    <w:multiLevelType w:val="hybridMultilevel"/>
    <w:tmpl w:val="6592F60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041837"/>
    <w:multiLevelType w:val="hybridMultilevel"/>
    <w:tmpl w:val="16CE5C2A"/>
    <w:lvl w:ilvl="0" w:tplc="417E05BA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D60B8"/>
    <w:multiLevelType w:val="hybridMultilevel"/>
    <w:tmpl w:val="66E8443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319B3"/>
    <w:multiLevelType w:val="hybridMultilevel"/>
    <w:tmpl w:val="41F49D5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1C71BB"/>
    <w:multiLevelType w:val="hybridMultilevel"/>
    <w:tmpl w:val="A7DAE1FE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532735"/>
    <w:multiLevelType w:val="hybridMultilevel"/>
    <w:tmpl w:val="C374B4D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C73062"/>
    <w:multiLevelType w:val="hybridMultilevel"/>
    <w:tmpl w:val="D94E3FA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110FAB"/>
    <w:multiLevelType w:val="hybridMultilevel"/>
    <w:tmpl w:val="7932020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6779E6"/>
    <w:multiLevelType w:val="hybridMultilevel"/>
    <w:tmpl w:val="BAB68BCE"/>
    <w:lvl w:ilvl="0" w:tplc="87E8650A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63670"/>
    <w:multiLevelType w:val="hybridMultilevel"/>
    <w:tmpl w:val="7D00CEAE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551595"/>
    <w:multiLevelType w:val="hybridMultilevel"/>
    <w:tmpl w:val="373A0ABC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782D31"/>
    <w:multiLevelType w:val="hybridMultilevel"/>
    <w:tmpl w:val="FAF04B9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5603C9"/>
    <w:multiLevelType w:val="hybridMultilevel"/>
    <w:tmpl w:val="23F6DC42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F7BAD"/>
    <w:multiLevelType w:val="hybridMultilevel"/>
    <w:tmpl w:val="B2CE383E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8305E"/>
    <w:multiLevelType w:val="hybridMultilevel"/>
    <w:tmpl w:val="67DCF0B4"/>
    <w:lvl w:ilvl="0" w:tplc="AD066BE6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72F6A"/>
    <w:multiLevelType w:val="hybridMultilevel"/>
    <w:tmpl w:val="887A2ED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773952"/>
    <w:multiLevelType w:val="hybridMultilevel"/>
    <w:tmpl w:val="B2D632B4"/>
    <w:lvl w:ilvl="0" w:tplc="9892A7C4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B4524"/>
    <w:multiLevelType w:val="hybridMultilevel"/>
    <w:tmpl w:val="453C5DAA"/>
    <w:lvl w:ilvl="0" w:tplc="686EE442">
      <w:numFmt w:val="bullet"/>
      <w:lvlText w:val="•"/>
      <w:lvlJc w:val="left"/>
      <w:pPr>
        <w:ind w:left="1410" w:hanging="69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1362196">
    <w:abstractNumId w:val="18"/>
  </w:num>
  <w:num w:numId="2" w16cid:durableId="363210551">
    <w:abstractNumId w:val="8"/>
  </w:num>
  <w:num w:numId="3" w16cid:durableId="469833914">
    <w:abstractNumId w:val="15"/>
  </w:num>
  <w:num w:numId="4" w16cid:durableId="941574831">
    <w:abstractNumId w:val="14"/>
  </w:num>
  <w:num w:numId="5" w16cid:durableId="476461566">
    <w:abstractNumId w:val="0"/>
  </w:num>
  <w:num w:numId="6" w16cid:durableId="433980030">
    <w:abstractNumId w:val="13"/>
  </w:num>
  <w:num w:numId="7" w16cid:durableId="1536574319">
    <w:abstractNumId w:val="24"/>
  </w:num>
  <w:num w:numId="8" w16cid:durableId="1849785256">
    <w:abstractNumId w:val="7"/>
  </w:num>
  <w:num w:numId="9" w16cid:durableId="1522232949">
    <w:abstractNumId w:val="23"/>
  </w:num>
  <w:num w:numId="10" w16cid:durableId="255945715">
    <w:abstractNumId w:val="4"/>
  </w:num>
  <w:num w:numId="11" w16cid:durableId="1179005760">
    <w:abstractNumId w:val="1"/>
  </w:num>
  <w:num w:numId="12" w16cid:durableId="1596398182">
    <w:abstractNumId w:val="17"/>
  </w:num>
  <w:num w:numId="13" w16cid:durableId="1854761919">
    <w:abstractNumId w:val="6"/>
  </w:num>
  <w:num w:numId="14" w16cid:durableId="1049182933">
    <w:abstractNumId w:val="21"/>
  </w:num>
  <w:num w:numId="15" w16cid:durableId="1438452189">
    <w:abstractNumId w:val="19"/>
  </w:num>
  <w:num w:numId="16" w16cid:durableId="577590537">
    <w:abstractNumId w:val="3"/>
  </w:num>
  <w:num w:numId="17" w16cid:durableId="1718973323">
    <w:abstractNumId w:val="5"/>
  </w:num>
  <w:num w:numId="18" w16cid:durableId="307441324">
    <w:abstractNumId w:val="16"/>
  </w:num>
  <w:num w:numId="19" w16cid:durableId="1756396020">
    <w:abstractNumId w:val="20"/>
  </w:num>
  <w:num w:numId="20" w16cid:durableId="1301886033">
    <w:abstractNumId w:val="9"/>
  </w:num>
  <w:num w:numId="21" w16cid:durableId="1210149206">
    <w:abstractNumId w:val="11"/>
  </w:num>
  <w:num w:numId="22" w16cid:durableId="868228462">
    <w:abstractNumId w:val="12"/>
  </w:num>
  <w:num w:numId="23" w16cid:durableId="782573772">
    <w:abstractNumId w:val="22"/>
  </w:num>
  <w:num w:numId="24" w16cid:durableId="276720683">
    <w:abstractNumId w:val="2"/>
  </w:num>
  <w:num w:numId="25" w16cid:durableId="1614173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064FF"/>
    <w:rsid w:val="00026DFC"/>
    <w:rsid w:val="00063CC3"/>
    <w:rsid w:val="00066D0D"/>
    <w:rsid w:val="00071B3D"/>
    <w:rsid w:val="00084C25"/>
    <w:rsid w:val="000B42EE"/>
    <w:rsid w:val="000D2B70"/>
    <w:rsid w:val="000D74D7"/>
    <w:rsid w:val="000E2771"/>
    <w:rsid w:val="000E3D3A"/>
    <w:rsid w:val="000E602A"/>
    <w:rsid w:val="000F30B6"/>
    <w:rsid w:val="00112DC6"/>
    <w:rsid w:val="00136429"/>
    <w:rsid w:val="00155659"/>
    <w:rsid w:val="00173F70"/>
    <w:rsid w:val="001956DC"/>
    <w:rsid w:val="001A79F8"/>
    <w:rsid w:val="001B1AC6"/>
    <w:rsid w:val="001B23CA"/>
    <w:rsid w:val="002418E4"/>
    <w:rsid w:val="0027608D"/>
    <w:rsid w:val="00277A32"/>
    <w:rsid w:val="002B2041"/>
    <w:rsid w:val="002C0359"/>
    <w:rsid w:val="0030056B"/>
    <w:rsid w:val="003012AD"/>
    <w:rsid w:val="00305537"/>
    <w:rsid w:val="00313244"/>
    <w:rsid w:val="00321B8D"/>
    <w:rsid w:val="00353939"/>
    <w:rsid w:val="00354E00"/>
    <w:rsid w:val="0036588D"/>
    <w:rsid w:val="003660CF"/>
    <w:rsid w:val="00386A7B"/>
    <w:rsid w:val="003B314F"/>
    <w:rsid w:val="003C7CF1"/>
    <w:rsid w:val="003E63F4"/>
    <w:rsid w:val="00412CEA"/>
    <w:rsid w:val="0041560B"/>
    <w:rsid w:val="00430523"/>
    <w:rsid w:val="00445CFF"/>
    <w:rsid w:val="00450E15"/>
    <w:rsid w:val="004603D1"/>
    <w:rsid w:val="00462C71"/>
    <w:rsid w:val="004A2E5A"/>
    <w:rsid w:val="004A6E47"/>
    <w:rsid w:val="004B128E"/>
    <w:rsid w:val="004B2E3B"/>
    <w:rsid w:val="004F10D2"/>
    <w:rsid w:val="00514843"/>
    <w:rsid w:val="005264AC"/>
    <w:rsid w:val="00534DC5"/>
    <w:rsid w:val="00536F06"/>
    <w:rsid w:val="00550CAA"/>
    <w:rsid w:val="005552A4"/>
    <w:rsid w:val="00566458"/>
    <w:rsid w:val="0058622A"/>
    <w:rsid w:val="005940F7"/>
    <w:rsid w:val="005B2FAE"/>
    <w:rsid w:val="0060664F"/>
    <w:rsid w:val="00617FE8"/>
    <w:rsid w:val="00624DFE"/>
    <w:rsid w:val="00632670"/>
    <w:rsid w:val="00650EB9"/>
    <w:rsid w:val="00655F68"/>
    <w:rsid w:val="00660CC4"/>
    <w:rsid w:val="00667863"/>
    <w:rsid w:val="00681142"/>
    <w:rsid w:val="006A182A"/>
    <w:rsid w:val="006B278B"/>
    <w:rsid w:val="006C7062"/>
    <w:rsid w:val="006D34E6"/>
    <w:rsid w:val="006F11A6"/>
    <w:rsid w:val="006F51E1"/>
    <w:rsid w:val="00704537"/>
    <w:rsid w:val="00717114"/>
    <w:rsid w:val="007217B7"/>
    <w:rsid w:val="00734DE0"/>
    <w:rsid w:val="00737407"/>
    <w:rsid w:val="00760D67"/>
    <w:rsid w:val="00762D8A"/>
    <w:rsid w:val="00786148"/>
    <w:rsid w:val="00791F6E"/>
    <w:rsid w:val="007B4654"/>
    <w:rsid w:val="007D0CA2"/>
    <w:rsid w:val="0082579F"/>
    <w:rsid w:val="008426AA"/>
    <w:rsid w:val="008A5F73"/>
    <w:rsid w:val="008C7B94"/>
    <w:rsid w:val="008E0E7F"/>
    <w:rsid w:val="008E6CEE"/>
    <w:rsid w:val="008F0F8E"/>
    <w:rsid w:val="008F1A36"/>
    <w:rsid w:val="0091715F"/>
    <w:rsid w:val="0092738A"/>
    <w:rsid w:val="009648B7"/>
    <w:rsid w:val="00973226"/>
    <w:rsid w:val="0099237E"/>
    <w:rsid w:val="009A367E"/>
    <w:rsid w:val="009A7AA0"/>
    <w:rsid w:val="009B1416"/>
    <w:rsid w:val="009D2DF4"/>
    <w:rsid w:val="009D6F2A"/>
    <w:rsid w:val="009E6B7C"/>
    <w:rsid w:val="00A271C1"/>
    <w:rsid w:val="00A83BD2"/>
    <w:rsid w:val="00AC00A3"/>
    <w:rsid w:val="00AC3624"/>
    <w:rsid w:val="00B032F9"/>
    <w:rsid w:val="00B26D84"/>
    <w:rsid w:val="00B4233E"/>
    <w:rsid w:val="00B56ECF"/>
    <w:rsid w:val="00B60B6E"/>
    <w:rsid w:val="00B74405"/>
    <w:rsid w:val="00BA6179"/>
    <w:rsid w:val="00BC0719"/>
    <w:rsid w:val="00BE7499"/>
    <w:rsid w:val="00C20121"/>
    <w:rsid w:val="00C84EBC"/>
    <w:rsid w:val="00C860B8"/>
    <w:rsid w:val="00C95BA3"/>
    <w:rsid w:val="00CE4571"/>
    <w:rsid w:val="00D20DD4"/>
    <w:rsid w:val="00D22E8D"/>
    <w:rsid w:val="00D3778F"/>
    <w:rsid w:val="00D86A7B"/>
    <w:rsid w:val="00DB740B"/>
    <w:rsid w:val="00DC7C49"/>
    <w:rsid w:val="00DD073A"/>
    <w:rsid w:val="00DD0B9D"/>
    <w:rsid w:val="00DD4CC0"/>
    <w:rsid w:val="00DE56C1"/>
    <w:rsid w:val="00E3454B"/>
    <w:rsid w:val="00E4334C"/>
    <w:rsid w:val="00E74966"/>
    <w:rsid w:val="00E962CE"/>
    <w:rsid w:val="00E96868"/>
    <w:rsid w:val="00EB11F4"/>
    <w:rsid w:val="00ED298A"/>
    <w:rsid w:val="00ED5DCF"/>
    <w:rsid w:val="00ED6EE7"/>
    <w:rsid w:val="00EE1A76"/>
    <w:rsid w:val="00EE476C"/>
    <w:rsid w:val="00F104F0"/>
    <w:rsid w:val="00F15D16"/>
    <w:rsid w:val="00F5683B"/>
    <w:rsid w:val="00F573C2"/>
    <w:rsid w:val="00F757FC"/>
    <w:rsid w:val="00F872C2"/>
    <w:rsid w:val="00F91140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92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2023-03-14T15:52:00Z</dcterms:created>
  <dcterms:modified xsi:type="dcterms:W3CDTF">2023-03-14T15:52:00Z</dcterms:modified>
</cp:coreProperties>
</file>