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A3D8" w14:textId="5C5BB393" w:rsidR="00DE7F77" w:rsidRDefault="0082579F" w:rsidP="005B2FAE">
      <w:pPr>
        <w:spacing w:line="360" w:lineRule="auto"/>
        <w:jc w:val="both"/>
        <w:rPr>
          <w:rFonts w:asciiTheme="majorHAnsi" w:hAnsiTheme="majorHAnsi" w:cstheme="majorHAnsi"/>
          <w:bCs/>
        </w:rPr>
      </w:pPr>
      <w:r>
        <w:rPr>
          <w:noProof/>
          <w:lang w:eastAsia="es-ES"/>
        </w:rPr>
        <w:drawing>
          <wp:inline distT="0" distB="0" distL="0" distR="0" wp14:anchorId="764AC0D9" wp14:editId="5132543C">
            <wp:extent cx="5098408" cy="1216549"/>
            <wp:effectExtent l="0" t="0" r="7620" b="3175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1316" cy="121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7F77" w:rsidRPr="00DE7F77" w14:paraId="51DB1259" w14:textId="77777777" w:rsidTr="00DE7F77">
        <w:tc>
          <w:tcPr>
            <w:tcW w:w="8644" w:type="dxa"/>
          </w:tcPr>
          <w:p w14:paraId="56C81253" w14:textId="5347D71A" w:rsidR="00DE7F77" w:rsidRPr="00343F63" w:rsidRDefault="00DE7F77" w:rsidP="005B2FAE">
            <w:pPr>
              <w:spacing w:line="360" w:lineRule="auto"/>
              <w:jc w:val="both"/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343F63"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</w:rPr>
              <w:t>Proceso de implantación de las recomendaciones seleccionadas</w:t>
            </w:r>
          </w:p>
          <w:p w14:paraId="289C1DBC" w14:textId="77777777" w:rsidR="00DE7F77" w:rsidRPr="005425E1" w:rsidRDefault="00DE7F77" w:rsidP="00DE7F77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  <w:r w:rsidRPr="005425E1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SITUACIÓN BASAL Y PROCESO DE IDENTIFICACIÓN DE NECESIDADES</w:t>
            </w:r>
          </w:p>
          <w:p w14:paraId="082D7C1C" w14:textId="0EB7DDEE" w:rsidR="00DE7F77" w:rsidRDefault="00DE7F77" w:rsidP="00DE7F77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827A33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D42364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DISPONIBLES </w:t>
            </w: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>Y PROCESOS</w:t>
            </w:r>
            <w:r w:rsidRPr="00827A33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D42364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>ACTUALES</w:t>
            </w:r>
          </w:p>
          <w:p w14:paraId="200311C0" w14:textId="77777777" w:rsidR="00E60083" w:rsidRDefault="00E60083" w:rsidP="00E60083">
            <w:pPr>
              <w:pStyle w:val="Prrafodelista"/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14:paraId="53FEE43C" w14:textId="77777777" w:rsidR="00DE7F77" w:rsidRDefault="00DE7F77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20"/>
                <w:szCs w:val="20"/>
              </w:rPr>
            </w:pPr>
            <w:r w:rsidRPr="003E12C5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>Recursos humanos</w:t>
            </w:r>
            <w:r w:rsidRPr="003E12C5">
              <w:rPr>
                <w:rFonts w:ascii="Calibri" w:eastAsia="Calibri" w:hAnsi="Calibri" w:cs="Times New Roman"/>
                <w:bCs/>
                <w:color w:val="404040" w:themeColor="text1" w:themeTint="BF"/>
                <w:sz w:val="20"/>
                <w:szCs w:val="20"/>
              </w:rPr>
              <w:t xml:space="preserve">: </w:t>
            </w:r>
          </w:p>
          <w:p w14:paraId="7486B61F" w14:textId="5167AB6D" w:rsidR="00DE7F77" w:rsidRPr="00E60083" w:rsidRDefault="00DE7F77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-</w:t>
            </w:r>
            <w:r w:rsidR="00D4236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1 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referente de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investigación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en cuidados (referente IC)</w:t>
            </w:r>
            <w:r w:rsidR="00F71F1F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, integrada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en la </w:t>
            </w:r>
            <w:r w:rsidR="00343F63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Unidad de Calidad, Formación,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Investigación </w:t>
            </w:r>
            <w:r w:rsidR="00343F63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y Seguridad del Paciente del Área de Salud</w:t>
            </w:r>
            <w:r w:rsidR="00F71F1F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II</w:t>
            </w:r>
            <w:r w:rsidR="00393EDE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(Área II), </w:t>
            </w:r>
            <w:r w:rsidR="00F71F1F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393EDE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compuesta por 4 profesionales</w:t>
            </w:r>
          </w:p>
          <w:p w14:paraId="6F05CBC7" w14:textId="6B27D349" w:rsidR="00DE7F77" w:rsidRPr="00E60083" w:rsidRDefault="00DE7F77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-1 secretaria de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investigación (investig.).</w:t>
            </w:r>
          </w:p>
          <w:p w14:paraId="4C678F8C" w14:textId="77777777" w:rsidR="00DE7F77" w:rsidRPr="00E60083" w:rsidRDefault="00DE7F77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-1 data manager</w:t>
            </w:r>
          </w:p>
          <w:p w14:paraId="3BFACA3F" w14:textId="3D669E4D" w:rsidR="00DE7F77" w:rsidRDefault="00DE7F77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-</w:t>
            </w:r>
            <w:r w:rsidR="00F71F1F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1 estadística</w:t>
            </w:r>
            <w:r w:rsidR="00D4236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a tiempo parcial</w:t>
            </w:r>
          </w:p>
          <w:p w14:paraId="30CCA76D" w14:textId="77777777" w:rsidR="00E60083" w:rsidRPr="00E60083" w:rsidRDefault="00E60083" w:rsidP="00DE7F77">
            <w:pPr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18"/>
                <w:szCs w:val="18"/>
              </w:rPr>
            </w:pPr>
          </w:p>
          <w:p w14:paraId="1F2DAB4E" w14:textId="77777777" w:rsidR="00DE7F77" w:rsidRDefault="00DE7F77" w:rsidP="00DE7F77">
            <w:pPr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>Servicios de apoyo</w:t>
            </w:r>
          </w:p>
          <w:p w14:paraId="36118FB3" w14:textId="3E11DEC9" w:rsidR="00DE7F77" w:rsidRPr="00E60083" w:rsidRDefault="00DE7F77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-Asesoramiento (metodológico, ético, estadístico, acceso a bases de datos, r</w:t>
            </w:r>
            <w:r w:rsidR="00F71F1F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edacción de informe y difusión)</w:t>
            </w:r>
          </w:p>
          <w:p w14:paraId="5AC2A0FD" w14:textId="783ACADC" w:rsidR="00DE7F77" w:rsidRPr="00E60083" w:rsidRDefault="00DE7F77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-Servicio de gestión de datos (data manager y </w:t>
            </w:r>
            <w:r w:rsidR="005425E1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REDcap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)</w:t>
            </w:r>
          </w:p>
          <w:p w14:paraId="77A6F761" w14:textId="77777777" w:rsidR="00DE7F77" w:rsidRPr="00E60083" w:rsidRDefault="00DE7F77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-Servicio de apoyo estadístico </w:t>
            </w:r>
          </w:p>
          <w:p w14:paraId="5B6D2C8A" w14:textId="1474A1BB" w:rsidR="00DE7F77" w:rsidRPr="00E60083" w:rsidRDefault="00F71F1F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-</w:t>
            </w:r>
            <w:r w:rsidR="005425E1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LIDiTeB: </w:t>
            </w:r>
            <w:r w:rsidR="00DE7F77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Laboratorio de detección de necesidades y oportunidades de I+D+i en Tecnologías Biomédicas (TBM). Universidad Politécnica de Cartagena (UPCT) y Servicio Murciano de Salud (SMS). </w:t>
            </w:r>
          </w:p>
          <w:p w14:paraId="7FD87F0F" w14:textId="4C4E7316" w:rsidR="00D42364" w:rsidRDefault="00DE7F77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-Órganos asesores de apoyo a la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investig. 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subcomisión de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en cuidados (subcomisión  IC), creada en 2011, integrada por 12 profesionales de enfermería, Comité de Ética de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Investigación.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(CEI), Comisió</w:t>
            </w:r>
            <w:r w:rsidR="00D4236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n de </w:t>
            </w:r>
          </w:p>
          <w:p w14:paraId="06527DFB" w14:textId="1D23DCA6" w:rsidR="00DE7F77" w:rsidRDefault="002C3814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Investig. </w:t>
            </w:r>
            <w:r w:rsidR="00DE7F77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</w:t>
            </w:r>
          </w:p>
          <w:p w14:paraId="363FCEAD" w14:textId="77777777" w:rsidR="00E60083" w:rsidRPr="00E60083" w:rsidRDefault="00E60083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25B7C37A" w14:textId="77777777" w:rsidR="00DE7F77" w:rsidRPr="008E5D7D" w:rsidRDefault="00DE7F77" w:rsidP="00DE7F77">
            <w:pPr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8E5D7D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>Espacios</w:t>
            </w:r>
          </w:p>
          <w:p w14:paraId="15D2E921" w14:textId="7C4EC574" w:rsidR="00DE7F77" w:rsidRPr="00E60083" w:rsidRDefault="00F71F1F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-6</w:t>
            </w:r>
            <w:r w:rsidR="00DE7F77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espacios físicos independientes destinados a: </w:t>
            </w:r>
            <w:r w:rsidR="00D4236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unidad calidad, formación,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="00D4236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, </w:t>
            </w:r>
            <w:r w:rsidR="00DE7F77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data manager, estadística y secretaria de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</w:t>
            </w:r>
            <w:r w:rsidR="00DE7F77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</w:t>
            </w:r>
          </w:p>
          <w:p w14:paraId="48E880AA" w14:textId="3F6BD31A" w:rsidR="00E60083" w:rsidRDefault="00DE7F77" w:rsidP="00DE7F77">
            <w:pPr>
              <w:jc w:val="both"/>
              <w:rPr>
                <w:rStyle w:val="Hipervnculo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-Laboratorio de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, Desarrollo e innovación de Tecnologías Biomédicas (LIDiTeB)</w:t>
            </w:r>
            <w:r w:rsidR="007E5382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 Consulta</w:t>
            </w:r>
            <w:r w:rsidR="00343F63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equipamiento</w:t>
            </w:r>
            <w:r w:rsidR="007E5382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en: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hyperlink r:id="rId9" w:history="1">
              <w:r w:rsidR="007E5382" w:rsidRPr="00E60083">
                <w:rPr>
                  <w:rStyle w:val="Hipervnculo"/>
                  <w:sz w:val="18"/>
                  <w:szCs w:val="18"/>
                </w:rPr>
                <w:t>http://liditeb.sait.upct.es/nuestro_equipamiento/</w:t>
              </w:r>
            </w:hyperlink>
          </w:p>
          <w:p w14:paraId="343ECA64" w14:textId="77777777" w:rsidR="0056180B" w:rsidRPr="0056180B" w:rsidRDefault="0056180B" w:rsidP="00DE7F77">
            <w:pPr>
              <w:jc w:val="both"/>
              <w:rPr>
                <w:color w:val="0563C1" w:themeColor="hyperlink"/>
                <w:sz w:val="18"/>
                <w:szCs w:val="18"/>
                <w:u w:val="single"/>
              </w:rPr>
            </w:pPr>
          </w:p>
          <w:p w14:paraId="3E27EE77" w14:textId="1C661C07" w:rsidR="00DE7F77" w:rsidRPr="00A46CF7" w:rsidRDefault="00DE7F77" w:rsidP="00DE7F77">
            <w:pPr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3E12C5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>Fondos</w:t>
            </w: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2C3814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>económicos</w:t>
            </w:r>
            <w:r w:rsidR="007E5382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del Área de Salud destinados a </w:t>
            </w:r>
            <w:r w:rsidRPr="003E12C5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la </w:t>
            </w:r>
            <w:r w:rsidR="002C3814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>investigación</w:t>
            </w: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en cuidados</w:t>
            </w:r>
          </w:p>
          <w:p w14:paraId="1CF41603" w14:textId="1DEF7481" w:rsidR="00DE7F77" w:rsidRPr="00E60083" w:rsidRDefault="00DE7F77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-Pa</w:t>
            </w:r>
            <w:r w:rsidR="00D4236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rtida económica para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formac</w:t>
            </w:r>
            <w:r w:rsidR="00F71F1F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ión continuada en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="00F71F1F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(pro</w:t>
            </w:r>
            <w:r w:rsidR="007E5382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veniente de INAP</w:t>
            </w:r>
            <w:r w:rsidR="00F71F1F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7E5382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y Fondos Europeos, 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Next Generation y </w:t>
            </w:r>
            <w:r w:rsidR="007E5382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PRTR)</w:t>
            </w:r>
          </w:p>
          <w:p w14:paraId="5AFD2F34" w14:textId="5BB5D359" w:rsidR="00DE7F77" w:rsidRDefault="00DE7F77" w:rsidP="00DE7F77">
            <w:pPr>
              <w:jc w:val="both"/>
              <w:rPr>
                <w:rFonts w:ascii="Calibri" w:eastAsia="Calibri" w:hAnsi="Calibri" w:cs="Calibri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-Ayudas</w:t>
            </w:r>
            <w:r w:rsidR="007E5382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económicas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para </w:t>
            </w:r>
            <w:r w:rsidR="007E5382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inscripción a 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eventos científicos (</w:t>
            </w:r>
            <w:r w:rsidR="007E5382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máximo 450 </w:t>
            </w:r>
            <w:r w:rsidR="007E5382" w:rsidRPr="00E60083">
              <w:rPr>
                <w:rFonts w:ascii="Calibri" w:eastAsia="Calibri" w:hAnsi="Calibri" w:cs="Calibri"/>
                <w:bCs/>
                <w:color w:val="404040" w:themeColor="text1" w:themeTint="BF"/>
                <w:sz w:val="18"/>
                <w:szCs w:val="18"/>
              </w:rPr>
              <w:t>€)</w:t>
            </w:r>
          </w:p>
          <w:p w14:paraId="1A9CCDFB" w14:textId="77777777" w:rsidR="00E60083" w:rsidRPr="00E60083" w:rsidRDefault="00E60083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3E08CDFC" w14:textId="779EE98A" w:rsidR="00DE7F77" w:rsidRDefault="00DE7F77" w:rsidP="00DE7F77">
            <w:pPr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>-Formación y capacitación</w:t>
            </w:r>
            <w:r w:rsidRPr="003E12C5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en </w:t>
            </w:r>
            <w:r w:rsidR="002C3814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>investigación.</w:t>
            </w:r>
            <w:r w:rsidRPr="003E12C5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72D30C31" w14:textId="18176B2A" w:rsidR="00DE7F77" w:rsidRDefault="00DE7F77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-Plan de formación continuada que incluye </w:t>
            </w:r>
            <w:r w:rsidR="0056180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mínimo 3 acciones formativas sobre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="0056180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al año.</w:t>
            </w:r>
          </w:p>
          <w:p w14:paraId="0C96CFF5" w14:textId="77777777" w:rsidR="00E60083" w:rsidRPr="00E60083" w:rsidRDefault="00E60083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2587B73A" w14:textId="081C9CA3" w:rsidR="00DE7F77" w:rsidRPr="003E12C5" w:rsidRDefault="00DE7F77" w:rsidP="00DE7F77">
            <w:pPr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20"/>
                <w:szCs w:val="20"/>
              </w:rPr>
              <w:t>-</w:t>
            </w:r>
            <w:r w:rsidRPr="003E12C5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Participación en </w:t>
            </w:r>
            <w:r w:rsidR="007E5382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estructuras de </w:t>
            </w:r>
            <w:r w:rsidR="002C3814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>investigación.</w:t>
            </w:r>
            <w:r w:rsidR="007E5382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e </w:t>
            </w:r>
            <w:r w:rsidRPr="003E12C5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>implantación de la evidencia</w:t>
            </w:r>
          </w:p>
          <w:p w14:paraId="7BD9D91B" w14:textId="7C37634D" w:rsidR="0056180B" w:rsidRPr="0056180B" w:rsidRDefault="00DE7F77" w:rsidP="00DE7F77">
            <w:pPr>
              <w:jc w:val="both"/>
              <w:rPr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-Instituto Murciano de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Biosanitaria IMIB. Grupo asociado clínico </w:t>
            </w:r>
            <w:r w:rsidRPr="00E60083">
              <w:rPr>
                <w:rFonts w:ascii="Calibri" w:eastAsia="Calibri" w:hAnsi="Calibri" w:cs="Times New Roman"/>
                <w:bCs/>
                <w:i/>
                <w:color w:val="404040" w:themeColor="text1" w:themeTint="BF"/>
                <w:sz w:val="18"/>
                <w:szCs w:val="18"/>
              </w:rPr>
              <w:t xml:space="preserve">Grupo de </w:t>
            </w:r>
            <w:r w:rsidR="002C3814">
              <w:rPr>
                <w:rFonts w:ascii="Calibri" w:eastAsia="Calibri" w:hAnsi="Calibri" w:cs="Times New Roman"/>
                <w:bCs/>
                <w:i/>
                <w:color w:val="404040" w:themeColor="text1" w:themeTint="BF"/>
                <w:sz w:val="18"/>
                <w:szCs w:val="18"/>
              </w:rPr>
              <w:t>Investig.</w:t>
            </w:r>
            <w:r w:rsidRPr="00E60083">
              <w:rPr>
                <w:rFonts w:ascii="Calibri" w:eastAsia="Calibri" w:hAnsi="Calibri" w:cs="Times New Roman"/>
                <w:bCs/>
                <w:i/>
                <w:color w:val="404040" w:themeColor="text1" w:themeTint="BF"/>
                <w:sz w:val="18"/>
                <w:szCs w:val="18"/>
              </w:rPr>
              <w:t xml:space="preserve"> en Cuidados 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(I-Cuida2)</w:t>
            </w:r>
            <w:r w:rsidR="0056180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:</w:t>
            </w:r>
            <w:hyperlink r:id="rId10" w:history="1">
              <w:r w:rsidR="0056180B" w:rsidRPr="0056180B">
                <w:rPr>
                  <w:rStyle w:val="Hipervnculo"/>
                  <w:rFonts w:ascii="Calibri" w:eastAsia="Calibri" w:hAnsi="Calibri" w:cs="Times New Roman"/>
                  <w:bCs/>
                  <w:sz w:val="18"/>
                  <w:szCs w:val="18"/>
                </w:rPr>
                <w:t>http://i-cuida2.imib.es/grupoinvestigacion/index.jsf</w:t>
              </w:r>
            </w:hyperlink>
            <w:r w:rsidR="0056180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54D867F5" w14:textId="7204C40A" w:rsidR="00DE7F77" w:rsidRPr="00E60083" w:rsidRDefault="00D42364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-Acreditación en el P</w:t>
            </w:r>
            <w:r w:rsidR="00DE7F77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rograma Centros Comprometidos con la Excelencia (Investen-isciii, BPSO, RNAO, CECBE)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</w:t>
            </w:r>
            <w:r w:rsidR="007E5382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desde</w:t>
            </w:r>
            <w:r w:rsidR="00DE7F77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2021.</w:t>
            </w:r>
          </w:p>
          <w:p w14:paraId="0D190058" w14:textId="5D9AC949" w:rsidR="00DE7F77" w:rsidRDefault="00DE7F77" w:rsidP="00DE7F77">
            <w:pPr>
              <w:jc w:val="both"/>
              <w:rPr>
                <w:rStyle w:val="Hipervnculo"/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-Universidad de Murcia. Participación en el grupo </w:t>
            </w:r>
            <w:hyperlink r:id="rId11" w:history="1">
              <w:r w:rsidR="002C3814">
                <w:rPr>
                  <w:rFonts w:ascii="Calibri" w:eastAsia="Calibri" w:hAnsi="Calibri" w:cs="Times New Roman"/>
                  <w:bCs/>
                  <w:color w:val="404040" w:themeColor="text1" w:themeTint="BF"/>
                  <w:sz w:val="18"/>
                  <w:szCs w:val="18"/>
                </w:rPr>
                <w:t>Investig.</w:t>
              </w:r>
              <w:r w:rsidRPr="00E60083">
                <w:rPr>
                  <w:rFonts w:ascii="Calibri" w:eastAsia="Calibri" w:hAnsi="Calibri" w:cs="Times New Roman"/>
                  <w:bCs/>
                  <w:color w:val="404040" w:themeColor="text1" w:themeTint="BF"/>
                  <w:sz w:val="18"/>
                  <w:szCs w:val="18"/>
                </w:rPr>
                <w:t xml:space="preserve"> en </w:t>
              </w:r>
              <w:r w:rsidRPr="00E60083">
                <w:rPr>
                  <w:rFonts w:ascii="Calibri" w:eastAsia="Calibri" w:hAnsi="Calibri" w:cs="Times New Roman"/>
                  <w:bCs/>
                  <w:i/>
                  <w:color w:val="404040" w:themeColor="text1" w:themeTint="BF"/>
                  <w:sz w:val="18"/>
                  <w:szCs w:val="18"/>
                </w:rPr>
                <w:t>Cuidados Avanzados</w:t>
              </w:r>
            </w:hyperlink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: </w:t>
            </w:r>
            <w:hyperlink r:id="rId12" w:history="1">
              <w:r w:rsidRPr="00E60083">
                <w:rPr>
                  <w:rStyle w:val="Hipervnculo"/>
                  <w:rFonts w:ascii="Calibri" w:eastAsia="Calibri" w:hAnsi="Calibri" w:cs="Times New Roman"/>
                  <w:bCs/>
                  <w:sz w:val="18"/>
                  <w:szCs w:val="18"/>
                </w:rPr>
                <w:t>https://n9.cl/uminv</w:t>
              </w:r>
            </w:hyperlink>
          </w:p>
          <w:p w14:paraId="10B49F35" w14:textId="77777777" w:rsidR="00E60083" w:rsidRPr="00E60083" w:rsidRDefault="00E60083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132ED762" w14:textId="77777777" w:rsidR="00DE7F77" w:rsidRPr="00006865" w:rsidRDefault="00DE7F77" w:rsidP="00DE7F77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006865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>PROCESO DE DETECCIÓN DE NECESIDADES</w:t>
            </w:r>
          </w:p>
          <w:p w14:paraId="070992E9" w14:textId="77777777" w:rsidR="00DE7F77" w:rsidRPr="00E60083" w:rsidRDefault="00DE7F77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Se realizó en 3 etapas:  </w:t>
            </w:r>
          </w:p>
          <w:p w14:paraId="1555B2FD" w14:textId="3A0BE70A" w:rsidR="00DE7F77" w:rsidRPr="00E60083" w:rsidRDefault="00DE7F77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-Análisis DAFO</w:t>
            </w:r>
            <w:r w:rsidR="007E5382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(2 rondas)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7E5382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de la 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situación actual de 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en cuidados </w:t>
            </w:r>
            <w:r w:rsidR="00393EDE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en Área II del SMS.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13C04C2F" w14:textId="77777777" w:rsidR="00DE7F77" w:rsidRPr="00E60083" w:rsidRDefault="00DE7F77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-Selección de recomendaciones</w:t>
            </w:r>
          </w:p>
          <w:p w14:paraId="53376A5C" w14:textId="77777777" w:rsidR="00DE7F77" w:rsidRPr="00E60083" w:rsidRDefault="00DE7F77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-Priorización de las recomendaciones </w:t>
            </w:r>
          </w:p>
          <w:p w14:paraId="0FF8299C" w14:textId="77777777" w:rsidR="00DE7F77" w:rsidRPr="00E60083" w:rsidRDefault="00DE7F77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Participantes: dirección de enfermería, subcomisión IC, referente IC,  grupo asociado clínico I-Cuida2.</w:t>
            </w:r>
          </w:p>
          <w:p w14:paraId="49719D2A" w14:textId="32E92256" w:rsidR="00D42364" w:rsidRDefault="00DE7F77" w:rsidP="00DE7F77">
            <w:pPr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Ver formulario en  </w:t>
            </w:r>
            <w:hyperlink r:id="rId13" w:history="1">
              <w:r w:rsidR="00D42364" w:rsidRPr="00987847">
                <w:rPr>
                  <w:rStyle w:val="Hipervnculo"/>
                  <w:rFonts w:ascii="Calibri" w:eastAsia="Calibri" w:hAnsi="Calibri" w:cs="Times New Roman"/>
                  <w:bCs/>
                  <w:sz w:val="18"/>
                  <w:szCs w:val="18"/>
                </w:rPr>
                <w:t>https://n9.cl/necinv</w:t>
              </w:r>
            </w:hyperlink>
          </w:p>
          <w:p w14:paraId="4F848B1F" w14:textId="77777777" w:rsidR="00DE7F77" w:rsidRDefault="00DE7F77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20"/>
                <w:szCs w:val="20"/>
              </w:rPr>
            </w:pPr>
          </w:p>
          <w:p w14:paraId="49EC534B" w14:textId="77777777" w:rsidR="00594F81" w:rsidRDefault="00594F81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20"/>
                <w:szCs w:val="20"/>
              </w:rPr>
            </w:pPr>
          </w:p>
          <w:p w14:paraId="597E8BA5" w14:textId="77777777" w:rsidR="00DE7F77" w:rsidRDefault="00DE7F77" w:rsidP="00DE7F77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  <w:r w:rsidRPr="00800DE4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LISTADO, POR ORDEN DE PRIORIDAD, DE LAS RECOMENDACIONES DE CADA EJE</w:t>
            </w:r>
          </w:p>
          <w:p w14:paraId="2445769A" w14:textId="77777777" w:rsidR="00E60083" w:rsidRPr="00800DE4" w:rsidRDefault="00E60083" w:rsidP="00E60083">
            <w:pPr>
              <w:pStyle w:val="Prrafodelista"/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</w:p>
          <w:p w14:paraId="66C01A1F" w14:textId="43D3C5A2" w:rsidR="00DE7F77" w:rsidRPr="00E60083" w:rsidRDefault="00DE7F77" w:rsidP="00DE7F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Crear un “mapa” de enfermeras con formación avanzada en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="005425E1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(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…)</w:t>
            </w:r>
          </w:p>
          <w:p w14:paraId="72B707A7" w14:textId="77777777" w:rsidR="00DE7F77" w:rsidRPr="00E60083" w:rsidRDefault="00DE7F77" w:rsidP="00DE7F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Crear una base de datos de enfermeras interesadas en investigar (…)</w:t>
            </w:r>
          </w:p>
          <w:p w14:paraId="72AD7D30" w14:textId="237F8C12" w:rsidR="00DE7F77" w:rsidRPr="00E60083" w:rsidRDefault="00DE7F77" w:rsidP="00DE7F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Aumentar la formación continuada en metodología de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de forma multidisciplinar.</w:t>
            </w:r>
          </w:p>
          <w:p w14:paraId="04A88D75" w14:textId="77777777" w:rsidR="00DE7F77" w:rsidRPr="00E60083" w:rsidRDefault="00DE7F77" w:rsidP="00DE7F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Crear equipos de trabajo conjuntos y la realización de proyectos multicéntricos (…), grupos de alto rendimiento </w:t>
            </w:r>
          </w:p>
          <w:p w14:paraId="51476E16" w14:textId="77777777" w:rsidR="00DE7F77" w:rsidRPr="00E60083" w:rsidRDefault="00DE7F77" w:rsidP="00DE7F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Fomentar y facilitar que dentro de la Formación Sanitaria Especializada (EIR) el Trabajo Final de Residencia (…)</w:t>
            </w:r>
          </w:p>
          <w:p w14:paraId="3C571EC1" w14:textId="6A607CA5" w:rsidR="00DE7F77" w:rsidRPr="00E60083" w:rsidRDefault="00DE7F77" w:rsidP="00DE7F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Crear líneas de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dentro de las Unidades Docentes, con el apoyo de los Institutos de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sanitaria, y la Universidad, alineados con las necesidades de la Práctica clínica (…)</w:t>
            </w:r>
          </w:p>
          <w:p w14:paraId="7543A701" w14:textId="52BC78A3" w:rsidR="00DE7F77" w:rsidRPr="00E60083" w:rsidRDefault="00DE7F77" w:rsidP="00DE7F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Potenciar modelos como la enfermera de práctica avanzada (EPA) (…) Abrir líneas de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lideradas por estas figuras. </w:t>
            </w:r>
          </w:p>
          <w:p w14:paraId="3F6AC9D9" w14:textId="77777777" w:rsidR="00DE7F77" w:rsidRPr="00E60083" w:rsidRDefault="00DE7F77" w:rsidP="00DE7F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Potenciar la generación de proyectos Bottom up.</w:t>
            </w:r>
          </w:p>
          <w:p w14:paraId="7ECE66AA" w14:textId="2190BAF4" w:rsidR="00DE7F77" w:rsidRPr="00E60083" w:rsidRDefault="00DE7F77" w:rsidP="00DE7F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Impulsar la traslación a la práctica clínica de los resultados de la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e innovación.</w:t>
            </w:r>
          </w:p>
          <w:p w14:paraId="4F4589FC" w14:textId="45B29231" w:rsidR="00DE7F77" w:rsidRPr="00E60083" w:rsidRDefault="00DE7F77" w:rsidP="00DE7F77">
            <w:pPr>
              <w:pStyle w:val="Prrafodelista"/>
              <w:numPr>
                <w:ilvl w:val="0"/>
                <w:numId w:val="2"/>
              </w:numPr>
              <w:jc w:val="both"/>
              <w:rPr>
                <w:color w:val="767171" w:themeColor="background2" w:themeShade="80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Vincular la práctica clínica y la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(</w:t>
            </w:r>
            <w:r w:rsidR="005425E1"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...)</w:t>
            </w:r>
          </w:p>
          <w:p w14:paraId="39CB568C" w14:textId="77777777" w:rsidR="00DE7F77" w:rsidRPr="00E60083" w:rsidRDefault="00DE7F77" w:rsidP="00DE7F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Establecer y facilitar el acceso a un archivo de recursos disponibles (…)</w:t>
            </w:r>
          </w:p>
          <w:p w14:paraId="48C41612" w14:textId="6DBA1482" w:rsidR="00DE7F77" w:rsidRPr="00E60083" w:rsidRDefault="00DE7F77" w:rsidP="00DE7F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Crear un repositorio web, donde poder consultar los proyectos de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(…)</w:t>
            </w:r>
          </w:p>
          <w:p w14:paraId="258F88E2" w14:textId="77777777" w:rsidR="00DE7F77" w:rsidRPr="00E60083" w:rsidRDefault="00DE7F77" w:rsidP="00DE7F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Mejorar la difusión de convocatorias, premios, recursos de las instituciones</w:t>
            </w:r>
          </w:p>
          <w:p w14:paraId="56886E38" w14:textId="77777777" w:rsidR="00474594" w:rsidRPr="00E60083" w:rsidRDefault="00474594" w:rsidP="00474594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Facilitar la asistencia a foros científicos, así como la formación continuada.</w:t>
            </w:r>
          </w:p>
          <w:p w14:paraId="0E82FF80" w14:textId="3774E579" w:rsidR="00DE7F77" w:rsidRPr="00E60083" w:rsidRDefault="00DE7F77" w:rsidP="00DE7F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Facilitar la conciliación de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, con la práctica asistencial. (…)</w:t>
            </w:r>
          </w:p>
          <w:p w14:paraId="0E137371" w14:textId="41847FE9" w:rsidR="00DE7F77" w:rsidRPr="00E60083" w:rsidRDefault="00DE7F77" w:rsidP="00DE7F7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Favorecer la inclusión de enfermeras en los grupos/equipos de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Pr="00E600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multidisciplinares. </w:t>
            </w:r>
          </w:p>
          <w:p w14:paraId="1B407B83" w14:textId="77777777" w:rsidR="00DE7F77" w:rsidRDefault="00DE7F77" w:rsidP="00DE7F77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20"/>
                <w:szCs w:val="20"/>
              </w:rPr>
            </w:pPr>
          </w:p>
          <w:p w14:paraId="13CF12AE" w14:textId="77777777" w:rsidR="00DE7F77" w:rsidRDefault="00DE7F77" w:rsidP="00DE7F7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  <w:r w:rsidRPr="00800DE4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DESCRIPCIÓN DEL PROCESO DE IMPLANTACIÓN (ESTRATEGIA, ACTIVIDADES, EVALUACIÓN Y RECURSOS)</w:t>
            </w:r>
          </w:p>
          <w:p w14:paraId="17E3A606" w14:textId="77777777" w:rsidR="00E60083" w:rsidRPr="00800DE4" w:rsidRDefault="00E60083" w:rsidP="00E60083">
            <w:pPr>
              <w:pStyle w:val="Prrafodelista"/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</w:p>
          <w:p w14:paraId="0A0C58A2" w14:textId="1BFD198E" w:rsidR="00DE7F77" w:rsidRPr="004C0835" w:rsidRDefault="00DE7F77" w:rsidP="00DE7F77">
            <w:pPr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4C0835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Estrategia 1. Fomento de la </w:t>
            </w:r>
            <w:r w:rsidR="002C3814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>investigación.</w:t>
            </w:r>
            <w:r w:rsidRPr="004C0835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(procesos operacionales).</w:t>
            </w:r>
          </w:p>
          <w:p w14:paraId="16B0F3E7" w14:textId="77777777" w:rsidR="00DE7F77" w:rsidRDefault="00DE7F77" w:rsidP="00DE7F77">
            <w:pPr>
              <w:spacing w:after="120"/>
              <w:jc w:val="both"/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>ACTIVIDADES</w:t>
            </w:r>
          </w:p>
          <w:p w14:paraId="1D89AF79" w14:textId="3FB0FAF5" w:rsidR="00DE7F77" w:rsidRDefault="00DE7F77" w:rsidP="00DE7F77">
            <w:pPr>
              <w:spacing w:after="120"/>
              <w:jc w:val="both"/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-Reforzar  y catalogar </w:t>
            </w:r>
            <w:r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 xml:space="preserve">los servicios de apoyo a la </w:t>
            </w:r>
            <w:r w:rsidR="002C3814"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>investig.</w:t>
            </w:r>
            <w:r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 xml:space="preserve"> (asesoramiento metodológico, ético, estadístico, acceso a bases de datos, redacción de informe y difusión),  identificar áreas de mejora en su funcionamiento (accesibilidad, dotación)</w:t>
            </w:r>
            <w:r w:rsidR="0056180B"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>.</w:t>
            </w:r>
          </w:p>
          <w:p w14:paraId="461D8488" w14:textId="08DB2139" w:rsidR="00DE7F77" w:rsidRPr="00302EE1" w:rsidRDefault="00DE7F77" w:rsidP="00DE7F77">
            <w:pPr>
              <w:spacing w:after="120"/>
              <w:jc w:val="both"/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 xml:space="preserve">-Identificar proyectos prioritarios (propuestas  transformativas, orientadas hacia resultados en salud y mejora de los cuidados). </w:t>
            </w:r>
            <w:r w:rsidR="005425E1"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 xml:space="preserve">Analizar la viabilidad de grupos de alto rendimiento en estos proyectos, fomentar su  </w:t>
            </w:r>
            <w:r w:rsidR="005425E1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coordinación  con el tejido investigador en el ámbito autonómico (universidades, unidades  docentes, IMIB, </w:t>
            </w:r>
            <w:r w:rsidR="00F71F1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LIDiTeB</w:t>
            </w:r>
            <w:r w:rsidR="005425E1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), y del SNS (Investen-isciii, CECBE,  Ciber Isciii, RICORS,).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Orientar todas las etapas del proyecto hacia convocatorias competitivas 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de impacto.</w:t>
            </w:r>
          </w:p>
          <w:p w14:paraId="75722B7F" w14:textId="24661F85" w:rsidR="00DE7F77" w:rsidRDefault="00DE7F77" w:rsidP="00DE7F77">
            <w:pPr>
              <w:spacing w:after="120"/>
              <w:jc w:val="both"/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 xml:space="preserve">-Difundir en grupos de </w:t>
            </w:r>
            <w:r w:rsidR="002C3814"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>investig.</w:t>
            </w:r>
            <w:r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 xml:space="preserve"> de otras categorías profesionales, comités y comisiones de </w:t>
            </w:r>
            <w:r w:rsidR="002C3814"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>investig.</w:t>
            </w:r>
            <w:r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 xml:space="preserve"> multidisciplinares la figura de la enfermera investigadora y su rol en proyectos multicéntricos y multidisciplinares</w:t>
            </w:r>
            <w:r w:rsidR="0056180B"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>.</w:t>
            </w:r>
          </w:p>
          <w:p w14:paraId="37FB9C07" w14:textId="77777777" w:rsidR="00DE7F77" w:rsidRDefault="00DE7F77" w:rsidP="00DE7F77">
            <w:pPr>
              <w:spacing w:after="12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EVALUACIÓN. Indicadores anuales: </w:t>
            </w:r>
          </w:p>
          <w:p w14:paraId="4A9D79CE" w14:textId="3CFF84C0" w:rsidR="00DE7F77" w:rsidRDefault="00DE7F77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-Nº de publicaciones en revistas científicas y de proyectos competitivos (publicaciones+proyectos) en  las  que el primer autor o IP es  un profesional de enfermería. Meta: </w:t>
            </w:r>
            <w:r w:rsidR="00393EDE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tasa de crecimiento 3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0% anual. </w:t>
            </w:r>
          </w:p>
          <w:p w14:paraId="1656B5B2" w14:textId="1074DEAD" w:rsidR="00DE7F77" w:rsidRDefault="00DE7F77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-Nº de profesionales de enfermería capaces de diseñar de forma autónoma un proyecto de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="00D4236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x100 /Nº de profesionales interesados en investig.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Meta 50%. </w:t>
            </w:r>
          </w:p>
          <w:p w14:paraId="178529AF" w14:textId="31949337" w:rsidR="00DE7F77" w:rsidRPr="008D538F" w:rsidRDefault="00DE7F77" w:rsidP="00DE7F77">
            <w:pPr>
              <w:spacing w:after="12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RECURSOS: grupo</w:t>
            </w:r>
            <w:r w:rsidR="00393EDE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de trabajo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procesos operacionales. </w:t>
            </w:r>
          </w:p>
          <w:p w14:paraId="6A9CE501" w14:textId="6158A2A9" w:rsidR="00DE7F77" w:rsidRPr="004C0835" w:rsidRDefault="00DE7F77" w:rsidP="00DE7F77">
            <w:pPr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4C0835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Estrategia 2. Identificación, análisis y vertebración de líneas de </w:t>
            </w:r>
            <w:r w:rsidR="002C3814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>investigación.</w:t>
            </w:r>
            <w:r w:rsidRPr="004C0835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y profesionales interesados en la </w:t>
            </w:r>
            <w:r w:rsidR="002C3814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>investigación.</w:t>
            </w:r>
            <w:r w:rsidRPr="004C0835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(procesos estratégicos).</w:t>
            </w:r>
          </w:p>
          <w:p w14:paraId="200A4DAD" w14:textId="77777777" w:rsidR="00DE7F77" w:rsidRDefault="00DE7F77" w:rsidP="00DE7F77">
            <w:pPr>
              <w:spacing w:after="12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ACTIVIDADES</w:t>
            </w:r>
          </w:p>
          <w:p w14:paraId="4652B86B" w14:textId="7E9D057F" w:rsidR="00DE7F77" w:rsidRDefault="00DE7F77" w:rsidP="00DE7F77">
            <w:pPr>
              <w:spacing w:after="12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-Mapear a profesionales de enfermería interesados en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y creación de base de datos  (formación en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, línea de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, proyectos, necesidades).</w:t>
            </w:r>
          </w:p>
          <w:p w14:paraId="6E79C127" w14:textId="7FEE2218" w:rsidR="00DE7F77" w:rsidRDefault="00D42364" w:rsidP="00DE7F77">
            <w:pPr>
              <w:spacing w:after="12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-</w:t>
            </w:r>
            <w:r w:rsidR="00DE7F7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Iden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tificar  “puertas de entrada” (u</w:t>
            </w:r>
            <w:r w:rsidR="00DE7F7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nidades docentes, solicitudes del Comité de Ética de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="00DE7F7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, solicitudes de ayudas para asistencia a eventos científicos, solicitud de apoyo metodológico, inscripción a acciones formativas sobre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="00DE7F7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etc.). </w:t>
            </w:r>
          </w:p>
          <w:p w14:paraId="4FF3DEAB" w14:textId="0444CBA5" w:rsidR="00DE7F77" w:rsidRDefault="00DE7F77" w:rsidP="00DE7F77">
            <w:pPr>
              <w:spacing w:after="12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-Analizar, sintetizar y vertebrar los proyectos de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en fase de diseño  con otros investigadores del Área de Salud y con proyectos y grupos que tiene líneas en ejecución  (BPSO, Grupo I-Cuidados IMIB, </w:t>
            </w:r>
            <w:r w:rsidR="00F71F1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LIDiTeB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). </w:t>
            </w:r>
          </w:p>
          <w:p w14:paraId="59B2165E" w14:textId="1F8F0D7E" w:rsidR="00DE7F77" w:rsidRDefault="00DE7F77" w:rsidP="00DE7F77">
            <w:pPr>
              <w:spacing w:after="12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lastRenderedPageBreak/>
              <w:t xml:space="preserve">-Fomento y difusión de líneas de </w:t>
            </w:r>
            <w:r w:rsidR="002C3814"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>investig.</w:t>
            </w:r>
            <w:r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 xml:space="preserve"> alineadas con la práctica clínica en perfiles investigadores como residentes, doctorandos, enfermeras de práctica avanzada. Enlazar iniciativas de los profesionales</w:t>
            </w:r>
            <w:r w:rsidR="002E5783"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 xml:space="preserve"> (proyectos Bottom</w:t>
            </w:r>
            <w:r w:rsidR="005C60D9"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 xml:space="preserve"> up)</w:t>
            </w:r>
            <w:r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 xml:space="preserve"> y de las subcomisiones del Área de Salud (</w:t>
            </w:r>
            <w:r w:rsidR="005425E1"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>humanización,</w:t>
            </w:r>
            <w:r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 xml:space="preserve"> continuidad de cuidados y protocolos).</w:t>
            </w:r>
          </w:p>
          <w:p w14:paraId="20110298" w14:textId="77777777" w:rsidR="00DE7F77" w:rsidRDefault="00DE7F77" w:rsidP="00DE7F77">
            <w:pPr>
              <w:spacing w:after="12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EVALUACIÓN. Indicadores anuales: </w:t>
            </w:r>
          </w:p>
          <w:p w14:paraId="479D5104" w14:textId="73D3BDC3" w:rsidR="00DE7F77" w:rsidRDefault="002C3814" w:rsidP="002E5783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-Nº</w:t>
            </w:r>
            <w:r w:rsidR="00D4236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de perfiles de investigadores y proyectos </w:t>
            </w:r>
            <w:r w:rsidR="002E57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cumplimentados </w:t>
            </w:r>
            <w:r w:rsidR="00DE7F7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en su totalidad</w:t>
            </w:r>
            <w:r w:rsidR="00D4236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, en el registro</w:t>
            </w:r>
            <w:r w:rsidR="002E5783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x100</w:t>
            </w:r>
            <w:r w:rsidR="00DE7F7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 /Nº de profesionales interesados en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investig. </w:t>
            </w:r>
            <w:r w:rsidR="00DE7F7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. Meta 100%.</w:t>
            </w:r>
          </w:p>
          <w:p w14:paraId="56E2BE12" w14:textId="579E881F" w:rsidR="002E5783" w:rsidRDefault="002E5783" w:rsidP="009F2FB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-Nº de proyectos </w:t>
            </w:r>
            <w:r w:rsidR="009F2FB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originados en  el ámbito clínico o que supongan un proceso de traslación de conocimientos (Bottom up, BPSO, iniciativa de las subcomisiones etc.). Meta: tasa de crecimiento 20% anual.</w:t>
            </w:r>
          </w:p>
          <w:p w14:paraId="77D8E560" w14:textId="77777777" w:rsidR="009F2FB7" w:rsidRDefault="009F2FB7" w:rsidP="00DE7F77">
            <w:pPr>
              <w:spacing w:after="12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7939F173" w14:textId="2BE07A2D" w:rsidR="00DE7F77" w:rsidRDefault="00DE7F77" w:rsidP="00DE7F77">
            <w:pPr>
              <w:spacing w:after="12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RECURSOS: grupo </w:t>
            </w:r>
            <w:r w:rsidR="00393EDE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de trabajo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procesos estratégicos. </w:t>
            </w:r>
          </w:p>
          <w:p w14:paraId="3EF0B14D" w14:textId="7A67BB0C" w:rsidR="00DE7F77" w:rsidRPr="004C0835" w:rsidRDefault="00DE7F77" w:rsidP="00DE7F77">
            <w:pPr>
              <w:jc w:val="both"/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</w:pPr>
            <w:r w:rsidRPr="004C0835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>ESTRATEGIA</w:t>
            </w:r>
            <w:r w:rsidR="00800DE4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3.</w:t>
            </w: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4C0835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Ampliación de recursos  y Plan de comunicación sobre </w:t>
            </w:r>
            <w:r w:rsidR="005C60D9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I+D+i </w:t>
            </w:r>
            <w:r w:rsidRPr="004C0835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>en cuidados (procesos de soporte)</w:t>
            </w:r>
          </w:p>
          <w:p w14:paraId="32CEBFCC" w14:textId="77777777" w:rsidR="00DE7F77" w:rsidRDefault="00DE7F77" w:rsidP="00DE7F77">
            <w:pPr>
              <w:pStyle w:val="Prrafodelista"/>
              <w:spacing w:after="120"/>
              <w:ind w:left="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ACTIVIDADES</w:t>
            </w:r>
          </w:p>
          <w:p w14:paraId="787FA215" w14:textId="77777777" w:rsidR="005C60D9" w:rsidRDefault="005C60D9" w:rsidP="00DE7F77">
            <w:pPr>
              <w:pStyle w:val="Prrafodelista"/>
              <w:spacing w:after="120"/>
              <w:ind w:left="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40A0D35F" w14:textId="17B4F384" w:rsidR="00DE7F77" w:rsidRDefault="00DE7F77" w:rsidP="00DE7F77">
            <w:pPr>
              <w:pStyle w:val="Prrafodelista"/>
              <w:spacing w:after="120"/>
              <w:ind w:left="0"/>
              <w:jc w:val="both"/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-Ampliar las ayudas internas para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(liberaciones, publicaciones, crea</w:t>
            </w:r>
            <w:r w:rsidR="005C60D9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ción de una bolsa de viajes), y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color w:val="404040" w:themeColor="text1" w:themeTint="BF"/>
                <w:sz w:val="18"/>
                <w:szCs w:val="18"/>
              </w:rPr>
              <w:t xml:space="preserve">facilitar su gestión. </w:t>
            </w:r>
          </w:p>
          <w:p w14:paraId="74D9AA51" w14:textId="6E6C96D1" w:rsidR="00DE7F77" w:rsidRDefault="00DE7F77" w:rsidP="00DE7F77">
            <w:pPr>
              <w:pStyle w:val="Prrafodelista"/>
              <w:spacing w:after="120"/>
              <w:ind w:left="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5D67D837" w14:textId="4D1B1FCD" w:rsidR="00DE7F77" w:rsidRDefault="00DE7F77" w:rsidP="00DE7F77">
            <w:pPr>
              <w:pStyle w:val="Prrafodelista"/>
              <w:spacing w:after="120"/>
              <w:ind w:left="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-Diseñar un plan de formación continuada en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, por etapas, adecuado a las necesidades detectadas y coordinado con la oferta externa disponible. </w:t>
            </w:r>
          </w:p>
          <w:p w14:paraId="73DE9A4E" w14:textId="77777777" w:rsidR="00DE7F77" w:rsidRDefault="00DE7F77" w:rsidP="00DE7F77">
            <w:pPr>
              <w:pStyle w:val="Prrafodelista"/>
              <w:spacing w:after="120"/>
              <w:ind w:left="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3DD2AADB" w14:textId="57FB3C06" w:rsidR="00DE7F77" w:rsidRDefault="00DE7F77" w:rsidP="00DE7F77">
            <w:pPr>
              <w:pStyle w:val="Prrafodelista"/>
              <w:spacing w:after="120"/>
              <w:ind w:left="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-Elaborar un plan</w:t>
            </w:r>
            <w:r w:rsidR="005425E1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institucional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de comunicación </w:t>
            </w:r>
            <w:r w:rsidR="005425E1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en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5425E1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</w:t>
            </w:r>
            <w:r w:rsidR="00A564D1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+D+i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en cuidados: descripción del perfil de de</w:t>
            </w:r>
            <w:r w:rsidR="009F2FB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stinatarios,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selec</w:t>
            </w:r>
            <w:r w:rsidR="009F2FB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ción de contenido (proy</w:t>
            </w:r>
            <w:r w:rsidR="0056180B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ectos de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en cuidados, plan de formación en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, servicios de apoyo, convocatorias, eventos científicos), canales de comunicación (intranet, repositorio web, </w:t>
            </w:r>
            <w:r w:rsidRPr="00A2798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redes sociales, boletines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) y calendario de actualización y responsables.</w:t>
            </w:r>
          </w:p>
          <w:p w14:paraId="55F16B73" w14:textId="77777777" w:rsidR="00DE7F77" w:rsidRDefault="00DE7F77" w:rsidP="00DE7F77">
            <w:pPr>
              <w:pStyle w:val="Prrafodelista"/>
              <w:spacing w:after="120"/>
              <w:ind w:left="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29B3F717" w14:textId="48BF4FFE" w:rsidR="00DE7F77" w:rsidRDefault="00DE7F77" w:rsidP="00DE7F77">
            <w:pPr>
              <w:pStyle w:val="Prrafodelista"/>
              <w:spacing w:after="120"/>
              <w:ind w:left="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-Creación de una comisión de seguimiento del proyecto NRC. </w:t>
            </w:r>
            <w:r w:rsidRPr="00F8531F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="005C60D9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Comunicación del proyecto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(objetivos estratégicos, recomendaciones y actividades asociadas) a todos los sectores de interés. </w:t>
            </w:r>
          </w:p>
          <w:p w14:paraId="781AFECD" w14:textId="0A59848A" w:rsidR="00DE7F77" w:rsidRDefault="00DE7F77" w:rsidP="00DE7F77">
            <w:pPr>
              <w:spacing w:after="12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RECURSOS: grupo</w:t>
            </w:r>
            <w:r w:rsidR="00393EDE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de trabajo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procesos de soporte</w:t>
            </w:r>
          </w:p>
          <w:p w14:paraId="3EADE952" w14:textId="77777777" w:rsidR="00DE7F77" w:rsidRDefault="00DE7F77" w:rsidP="00DE7F77">
            <w:pPr>
              <w:spacing w:after="12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EVALUACIÓN. Indicadores anuales: </w:t>
            </w:r>
          </w:p>
          <w:p w14:paraId="30DCC961" w14:textId="7CD096CF" w:rsidR="00DE7F77" w:rsidRDefault="00DE7F77" w:rsidP="00DE7F77">
            <w:pPr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-</w:t>
            </w:r>
            <w:r w:rsidR="009F2FB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Nº</w:t>
            </w:r>
            <w:r w:rsidRPr="00F1586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de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profesionales de enfermería que rec</w:t>
            </w:r>
            <w:r w:rsidR="009F2FB7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iben formación en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 w:rsidRPr="00F1586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con resultado de ‘apto’ x 100 / Número total de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profesionales de enfermería interesados en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, residentes y enfermeras de práctica avanzada. </w:t>
            </w:r>
          </w:p>
          <w:p w14:paraId="212658DE" w14:textId="26B49FF1" w:rsidR="00DE7F77" w:rsidRPr="00D42364" w:rsidRDefault="00DE7F77" w:rsidP="00DE7F7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EB0272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-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Profesionales de enfermería con proyectos concluidos  </w:t>
            </w:r>
            <w:r w:rsidRPr="00EB0272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que valoran positivamente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el apoyo del Área de Salud en el desarrollo de su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(apoyo metodológico, acceso a bases de datos, ayuda para la difusión, incentivos </w:t>
            </w:r>
            <w:r w:rsidRPr="00EB0272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x 100 / 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Profesionales con proyectos de </w:t>
            </w:r>
            <w:r w:rsidR="002C3814"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>investig.</w:t>
            </w:r>
            <w: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  <w:t xml:space="preserve"> concluidos</w:t>
            </w:r>
            <w:r w:rsidR="00D42364">
              <w:rPr>
                <w:rFonts w:ascii="Calibri" w:eastAsia="Calibri" w:hAnsi="Calibri" w:cs="Times New Roman"/>
                <w:bCs/>
                <w:sz w:val="18"/>
                <w:szCs w:val="18"/>
              </w:rPr>
              <w:t>.</w:t>
            </w:r>
          </w:p>
          <w:p w14:paraId="572C1331" w14:textId="77777777" w:rsidR="00DE7F77" w:rsidRDefault="00DE7F77" w:rsidP="00DE7F7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  <w:p w14:paraId="50E910C6" w14:textId="474CC0E6" w:rsidR="00DE7F77" w:rsidRDefault="005C60D9" w:rsidP="00DE7F77">
            <w:pPr>
              <w:pStyle w:val="Prrafodelista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  <w:r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>RESPONSABLE Y</w:t>
            </w:r>
            <w:r w:rsidR="005425E1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 xml:space="preserve"> EQUIPO </w:t>
            </w:r>
            <w:r w:rsidR="00DE7F77" w:rsidRPr="00800DE4"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  <w:t xml:space="preserve"> PARA ACOMETER LA PROPUESTA Y SU INTERACCIÓN</w:t>
            </w:r>
          </w:p>
          <w:p w14:paraId="1364F0E0" w14:textId="77777777" w:rsidR="00E60083" w:rsidRPr="00800DE4" w:rsidRDefault="00E60083" w:rsidP="00E60083">
            <w:pPr>
              <w:pStyle w:val="Prrafodelista"/>
              <w:rPr>
                <w:rFonts w:ascii="Calibri" w:eastAsia="Calibri" w:hAnsi="Calibri" w:cs="Times New Roman"/>
                <w:b/>
                <w:bCs/>
                <w:color w:val="404040" w:themeColor="text1" w:themeTint="BF"/>
              </w:rPr>
            </w:pPr>
          </w:p>
          <w:tbl>
            <w:tblPr>
              <w:tblStyle w:val="Tablaconcuadrcula"/>
              <w:tblW w:w="8430" w:type="dxa"/>
              <w:jc w:val="center"/>
              <w:tblLook w:val="04A0" w:firstRow="1" w:lastRow="0" w:firstColumn="1" w:lastColumn="0" w:noHBand="0" w:noVBand="1"/>
            </w:tblPr>
            <w:tblGrid>
              <w:gridCol w:w="4816"/>
              <w:gridCol w:w="1334"/>
              <w:gridCol w:w="1207"/>
              <w:gridCol w:w="1073"/>
            </w:tblGrid>
            <w:tr w:rsidR="00800DE4" w:rsidRPr="005C60D9" w14:paraId="28410434" w14:textId="77777777" w:rsidTr="009A26D0">
              <w:trPr>
                <w:trHeight w:val="446"/>
                <w:jc w:val="center"/>
              </w:trPr>
              <w:tc>
                <w:tcPr>
                  <w:tcW w:w="4816" w:type="dxa"/>
                </w:tcPr>
                <w:p w14:paraId="698C90A2" w14:textId="77777777" w:rsidR="00DE7F77" w:rsidRPr="005C60D9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  <w:p w14:paraId="50957C61" w14:textId="77777777" w:rsidR="00DE7F77" w:rsidRPr="005C60D9" w:rsidRDefault="00DE7F77" w:rsidP="00A3506E">
                  <w:pPr>
                    <w:ind w:left="-1095" w:firstLine="1095"/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5C60D9"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EQUIPO</w:t>
                  </w:r>
                </w:p>
              </w:tc>
              <w:tc>
                <w:tcPr>
                  <w:tcW w:w="1334" w:type="dxa"/>
                </w:tcPr>
                <w:p w14:paraId="11D173CD" w14:textId="77777777" w:rsidR="00DE7F77" w:rsidRPr="005C60D9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5C60D9"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GRUPO</w:t>
                  </w:r>
                </w:p>
                <w:p w14:paraId="2B543BCB" w14:textId="77777777" w:rsidR="00DE7F77" w:rsidRPr="005C60D9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5C60D9"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PROCESOS OPERACIONALES</w:t>
                  </w:r>
                </w:p>
              </w:tc>
              <w:tc>
                <w:tcPr>
                  <w:tcW w:w="1207" w:type="dxa"/>
                </w:tcPr>
                <w:p w14:paraId="598696B0" w14:textId="77777777" w:rsidR="00DE7F77" w:rsidRPr="005C60D9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5C60D9"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GRUPO</w:t>
                  </w:r>
                </w:p>
                <w:p w14:paraId="1B4FC3C5" w14:textId="77777777" w:rsidR="00DE7F77" w:rsidRPr="005C60D9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5C60D9"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PROCESOS ESTRATÉGICOS</w:t>
                  </w:r>
                </w:p>
              </w:tc>
              <w:tc>
                <w:tcPr>
                  <w:tcW w:w="1073" w:type="dxa"/>
                </w:tcPr>
                <w:p w14:paraId="5E160A45" w14:textId="77777777" w:rsidR="00DE7F77" w:rsidRPr="005C60D9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5C60D9"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GRUPO</w:t>
                  </w:r>
                </w:p>
                <w:p w14:paraId="0E94F1A1" w14:textId="77777777" w:rsidR="00DE7F77" w:rsidRPr="005C60D9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5C60D9"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 xml:space="preserve">PROCESOS </w:t>
                  </w:r>
                </w:p>
                <w:p w14:paraId="03066AEF" w14:textId="77777777" w:rsidR="00DE7F77" w:rsidRPr="005C60D9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5C60D9"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  <w:t>DE SOPORTE</w:t>
                  </w:r>
                </w:p>
              </w:tc>
            </w:tr>
            <w:tr w:rsidR="00461151" w:rsidRPr="00457B03" w14:paraId="40DA3329" w14:textId="77777777" w:rsidTr="00461151">
              <w:trPr>
                <w:jc w:val="center"/>
              </w:trPr>
              <w:tc>
                <w:tcPr>
                  <w:tcW w:w="4816" w:type="dxa"/>
                </w:tcPr>
                <w:p w14:paraId="614B0D44" w14:textId="1D5090AF" w:rsidR="00DE7F77" w:rsidRPr="00457B03" w:rsidRDefault="00DE7F77" w:rsidP="00A3506E">
                  <w:pPr>
                    <w:pStyle w:val="Prrafodelista"/>
                    <w:ind w:left="0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Mª Teresa Roldán Chicano: referente de </w:t>
                  </w:r>
                  <w:r w:rsidR="002C381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investig.</w:t>
                  </w:r>
                  <w:r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en cuidados. Responsable de implantación NRC</w:t>
                  </w:r>
                </w:p>
              </w:tc>
              <w:tc>
                <w:tcPr>
                  <w:tcW w:w="1334" w:type="dxa"/>
                  <w:shd w:val="clear" w:color="auto" w:fill="B4C6E7" w:themeFill="accent1" w:themeFillTint="66"/>
                </w:tcPr>
                <w:p w14:paraId="1748DA66" w14:textId="77777777" w:rsidR="00DE7F77" w:rsidRPr="00457B03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shd w:val="clear" w:color="auto" w:fill="B4C6E7" w:themeFill="accent1" w:themeFillTint="66"/>
                </w:tcPr>
                <w:p w14:paraId="60EF35B9" w14:textId="77777777" w:rsidR="00DE7F77" w:rsidRPr="00457B03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  <w:shd w:val="clear" w:color="auto" w:fill="B4C6E7" w:themeFill="accent1" w:themeFillTint="66"/>
                </w:tcPr>
                <w:p w14:paraId="53ECDCA9" w14:textId="77777777" w:rsidR="00DE7F77" w:rsidRPr="00457B03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800DE4" w:rsidRPr="00457B03" w14:paraId="6821F18A" w14:textId="77777777" w:rsidTr="00461151">
              <w:trPr>
                <w:jc w:val="center"/>
              </w:trPr>
              <w:tc>
                <w:tcPr>
                  <w:tcW w:w="4816" w:type="dxa"/>
                </w:tcPr>
                <w:p w14:paraId="647A94CC" w14:textId="32D17545" w:rsidR="00DE7F77" w:rsidRPr="00457B03" w:rsidRDefault="00DE7F77" w:rsidP="00A3506E">
                  <w:pPr>
                    <w:pStyle w:val="Prrafodelista"/>
                    <w:ind w:left="0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Eulalia Gómez Sannicolás. </w:t>
                  </w:r>
                  <w:r w:rsidR="005C60D9"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Secretaria de </w:t>
                  </w:r>
                  <w:r w:rsidR="002C381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Investig.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</w:tcBorders>
                  <w:shd w:val="clear" w:color="auto" w:fill="B4C6E7" w:themeFill="accent1" w:themeFillTint="66"/>
                </w:tcPr>
                <w:p w14:paraId="4DAB3531" w14:textId="77777777" w:rsidR="00DE7F77" w:rsidRPr="00457B03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shd w:val="clear" w:color="auto" w:fill="B4C6E7" w:themeFill="accent1" w:themeFillTint="66"/>
                </w:tcPr>
                <w:p w14:paraId="3C2485E6" w14:textId="77777777" w:rsidR="00DE7F77" w:rsidRPr="00457B03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</w:tcPr>
                <w:p w14:paraId="60318E03" w14:textId="77777777" w:rsidR="00DE7F77" w:rsidRPr="00457B03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800DE4" w:rsidRPr="00457B03" w14:paraId="790ACA18" w14:textId="77777777" w:rsidTr="00461151">
              <w:trPr>
                <w:jc w:val="center"/>
              </w:trPr>
              <w:tc>
                <w:tcPr>
                  <w:tcW w:w="4816" w:type="dxa"/>
                </w:tcPr>
                <w:p w14:paraId="793C1CE9" w14:textId="77777777" w:rsidR="00DE7F77" w:rsidRPr="00457B03" w:rsidRDefault="00DE7F77" w:rsidP="00A3506E">
                  <w:pPr>
                    <w:pStyle w:val="Prrafodelista"/>
                    <w:ind w:left="0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Laura Seoane Cegarra. Subdirectora de Enfermería</w:t>
                  </w:r>
                </w:p>
              </w:tc>
              <w:tc>
                <w:tcPr>
                  <w:tcW w:w="1334" w:type="dxa"/>
                </w:tcPr>
                <w:p w14:paraId="122E186C" w14:textId="77777777" w:rsidR="00DE7F77" w:rsidRPr="00457B03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</w:tcPr>
                <w:p w14:paraId="0D6BB1CB" w14:textId="77777777" w:rsidR="00DE7F77" w:rsidRPr="00457B03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  <w:shd w:val="clear" w:color="auto" w:fill="B4C6E7" w:themeFill="accent1" w:themeFillTint="66"/>
                </w:tcPr>
                <w:p w14:paraId="779061F4" w14:textId="77777777" w:rsidR="00DE7F77" w:rsidRPr="00457B03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800DE4" w:rsidRPr="00457B03" w14:paraId="024B3C3A" w14:textId="77777777" w:rsidTr="00461151">
              <w:trPr>
                <w:jc w:val="center"/>
              </w:trPr>
              <w:tc>
                <w:tcPr>
                  <w:tcW w:w="4816" w:type="dxa"/>
                </w:tcPr>
                <w:p w14:paraId="2DF7EFAF" w14:textId="6D4A18A1" w:rsidR="00DE7F77" w:rsidRPr="00457B03" w:rsidRDefault="00DE7F77" w:rsidP="00A3506E">
                  <w:pPr>
                    <w:pStyle w:val="Prrafodelista"/>
                    <w:ind w:left="0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Julia Esteban Martínez. </w:t>
                  </w:r>
                  <w:r w:rsidR="005C60D9"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Subdirectora de Enfermería</w:t>
                  </w:r>
                </w:p>
              </w:tc>
              <w:tc>
                <w:tcPr>
                  <w:tcW w:w="1334" w:type="dxa"/>
                </w:tcPr>
                <w:p w14:paraId="1BB2D4E2" w14:textId="77777777" w:rsidR="00DE7F77" w:rsidRPr="00457B03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shd w:val="clear" w:color="auto" w:fill="B4C6E7" w:themeFill="accent1" w:themeFillTint="66"/>
                </w:tcPr>
                <w:p w14:paraId="369DA071" w14:textId="77777777" w:rsidR="00DE7F77" w:rsidRPr="00457B03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</w:tcPr>
                <w:p w14:paraId="5820EDAF" w14:textId="77777777" w:rsidR="00DE7F77" w:rsidRPr="00457B03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800DE4" w:rsidRPr="00457B03" w14:paraId="36580CD5" w14:textId="77777777" w:rsidTr="00461151">
              <w:trPr>
                <w:jc w:val="center"/>
              </w:trPr>
              <w:tc>
                <w:tcPr>
                  <w:tcW w:w="4816" w:type="dxa"/>
                </w:tcPr>
                <w:p w14:paraId="1B5234E5" w14:textId="7C0BE4D8" w:rsidR="00DE7F77" w:rsidRPr="00457B03" w:rsidRDefault="00DE7F77" w:rsidP="00A3506E">
                  <w:pPr>
                    <w:pStyle w:val="Prrafodelista"/>
                    <w:ind w:left="0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Mª Dol</w:t>
                  </w:r>
                  <w:r w:rsidR="00457B03"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ores  Meroño Rivera. Superviso</w:t>
                  </w:r>
                  <w:r w:rsidR="009A26D0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Calidad, Formac, Seg. Pac.</w:t>
                  </w:r>
                </w:p>
              </w:tc>
              <w:tc>
                <w:tcPr>
                  <w:tcW w:w="1334" w:type="dxa"/>
                </w:tcPr>
                <w:p w14:paraId="3BC3F509" w14:textId="77777777" w:rsidR="00DE7F77" w:rsidRPr="00457B03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shd w:val="clear" w:color="auto" w:fill="B4C6E7" w:themeFill="accent1" w:themeFillTint="66"/>
                </w:tcPr>
                <w:p w14:paraId="679C1B74" w14:textId="77777777" w:rsidR="00DE7F77" w:rsidRPr="00457B03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</w:tcPr>
                <w:p w14:paraId="6AD63264" w14:textId="77777777" w:rsidR="00DE7F77" w:rsidRPr="00457B03" w:rsidRDefault="00DE7F77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5429F6" w:rsidRPr="00457B03" w14:paraId="7C96BE95" w14:textId="77777777" w:rsidTr="00461151">
              <w:trPr>
                <w:jc w:val="center"/>
              </w:trPr>
              <w:tc>
                <w:tcPr>
                  <w:tcW w:w="4816" w:type="dxa"/>
                </w:tcPr>
                <w:p w14:paraId="0D889369" w14:textId="20F73BCB" w:rsidR="005429F6" w:rsidRPr="00457B03" w:rsidRDefault="005429F6" w:rsidP="00A3506E">
                  <w:pPr>
                    <w:pStyle w:val="Prrafodelista"/>
                    <w:ind w:left="0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José Martín Rodríguez</w:t>
                  </w:r>
                  <w:r w:rsidR="009A26D0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. Supervisor de Form</w:t>
                  </w:r>
                  <w:r w:rsidR="0056180B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ación</w:t>
                  </w:r>
                  <w:r w:rsidR="009A26D0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. Continuada</w:t>
                  </w:r>
                </w:p>
              </w:tc>
              <w:tc>
                <w:tcPr>
                  <w:tcW w:w="1334" w:type="dxa"/>
                </w:tcPr>
                <w:p w14:paraId="4B8BC889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shd w:val="clear" w:color="auto" w:fill="B4C6E7" w:themeFill="accent1" w:themeFillTint="66"/>
                </w:tcPr>
                <w:p w14:paraId="4C98FBBF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</w:tcPr>
                <w:p w14:paraId="23FEAF45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5429F6" w:rsidRPr="00457B03" w14:paraId="77F75CD4" w14:textId="77777777" w:rsidTr="00461151">
              <w:trPr>
                <w:jc w:val="center"/>
              </w:trPr>
              <w:tc>
                <w:tcPr>
                  <w:tcW w:w="4816" w:type="dxa"/>
                </w:tcPr>
                <w:p w14:paraId="482FF3B1" w14:textId="7663E1E1" w:rsidR="005429F6" w:rsidRPr="00457B03" w:rsidRDefault="005429F6" w:rsidP="00A3506E">
                  <w:pPr>
                    <w:pStyle w:val="Prrafodelista"/>
                    <w:ind w:left="0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Candelario</w:t>
                  </w:r>
                  <w:r w:rsidR="00461151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Cerezuela Belizón</w:t>
                  </w:r>
                  <w:r w:rsidR="00581F21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. R</w:t>
                  </w:r>
                  <w:r w:rsidR="0056180B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esponsable F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ormac</w:t>
                  </w:r>
                  <w:r w:rsidR="00581F21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.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y</w:t>
                  </w:r>
                  <w:r w:rsidR="0056180B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Docencia E</w:t>
                  </w:r>
                  <w:r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nf. AP</w:t>
                  </w:r>
                </w:p>
              </w:tc>
              <w:tc>
                <w:tcPr>
                  <w:tcW w:w="1334" w:type="dxa"/>
                </w:tcPr>
                <w:p w14:paraId="72A49A66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shd w:val="clear" w:color="auto" w:fill="B4C6E7" w:themeFill="accent1" w:themeFillTint="66"/>
                </w:tcPr>
                <w:p w14:paraId="2FC437BD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  <w:shd w:val="clear" w:color="auto" w:fill="B4C6E7" w:themeFill="accent1" w:themeFillTint="66"/>
                </w:tcPr>
                <w:p w14:paraId="159B0ABB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61151" w:rsidRPr="00457B03" w14:paraId="6651EF82" w14:textId="77777777" w:rsidTr="00461151">
              <w:trPr>
                <w:jc w:val="center"/>
              </w:trPr>
              <w:tc>
                <w:tcPr>
                  <w:tcW w:w="4816" w:type="dxa"/>
                </w:tcPr>
                <w:p w14:paraId="1597D68D" w14:textId="34EE8CDB" w:rsidR="005429F6" w:rsidRPr="00457B03" w:rsidRDefault="00461151" w:rsidP="00A3506E">
                  <w:pPr>
                    <w:pStyle w:val="Prrafodelista"/>
                    <w:ind w:left="0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Subcomisión </w:t>
                  </w:r>
                  <w:r w:rsidR="002C381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Investig.</w:t>
                  </w: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Cuidados </w:t>
                  </w:r>
                  <w:r w:rsidR="005429F6"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334" w:type="dxa"/>
                  <w:shd w:val="clear" w:color="auto" w:fill="B4C6E7" w:themeFill="accent1" w:themeFillTint="66"/>
                </w:tcPr>
                <w:p w14:paraId="7D0E9DEF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shd w:val="clear" w:color="auto" w:fill="B4C6E7" w:themeFill="accent1" w:themeFillTint="66"/>
                </w:tcPr>
                <w:p w14:paraId="34CDDB4D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  <w:shd w:val="clear" w:color="auto" w:fill="B4C6E7" w:themeFill="accent1" w:themeFillTint="66"/>
                </w:tcPr>
                <w:p w14:paraId="5862EE04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5429F6" w:rsidRPr="00457B03" w14:paraId="53A8948B" w14:textId="77777777" w:rsidTr="00461151">
              <w:trPr>
                <w:jc w:val="center"/>
              </w:trPr>
              <w:tc>
                <w:tcPr>
                  <w:tcW w:w="4816" w:type="dxa"/>
                </w:tcPr>
                <w:p w14:paraId="705E492E" w14:textId="618C736F" w:rsidR="005429F6" w:rsidRPr="00457B03" w:rsidRDefault="005429F6" w:rsidP="00A3506E">
                  <w:pPr>
                    <w:pStyle w:val="Prrafodelista"/>
                    <w:ind w:left="0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Comisión de </w:t>
                  </w:r>
                  <w:r w:rsidR="002C381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Investig.</w:t>
                  </w:r>
                  <w:r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34" w:type="dxa"/>
                  <w:shd w:val="clear" w:color="auto" w:fill="B4C6E7" w:themeFill="accent1" w:themeFillTint="66"/>
                </w:tcPr>
                <w:p w14:paraId="6C2A6CAF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</w:tcPr>
                <w:p w14:paraId="329862E5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  <w:shd w:val="clear" w:color="auto" w:fill="auto"/>
                </w:tcPr>
                <w:p w14:paraId="1B16C5A2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5429F6" w:rsidRPr="00457B03" w14:paraId="66F0C743" w14:textId="77777777" w:rsidTr="00461151">
              <w:trPr>
                <w:jc w:val="center"/>
              </w:trPr>
              <w:tc>
                <w:tcPr>
                  <w:tcW w:w="4816" w:type="dxa"/>
                </w:tcPr>
                <w:p w14:paraId="05577749" w14:textId="77777777" w:rsidR="005429F6" w:rsidRPr="00457B03" w:rsidRDefault="005429F6" w:rsidP="00A3506E">
                  <w:pPr>
                    <w:pStyle w:val="Prrafodelista"/>
                    <w:ind w:left="0"/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Comisión de Formación Continuada</w:t>
                  </w:r>
                </w:p>
              </w:tc>
              <w:tc>
                <w:tcPr>
                  <w:tcW w:w="1334" w:type="dxa"/>
                </w:tcPr>
                <w:p w14:paraId="0787D662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</w:tcPr>
                <w:p w14:paraId="01381D2F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  <w:shd w:val="clear" w:color="auto" w:fill="B4C6E7" w:themeFill="accent1" w:themeFillTint="66"/>
                </w:tcPr>
                <w:p w14:paraId="60C454A9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61151" w:rsidRPr="00457B03" w14:paraId="3AB1A781" w14:textId="77777777" w:rsidTr="00461151">
              <w:trPr>
                <w:jc w:val="center"/>
              </w:trPr>
              <w:tc>
                <w:tcPr>
                  <w:tcW w:w="4816" w:type="dxa"/>
                </w:tcPr>
                <w:p w14:paraId="3E1941E9" w14:textId="6C865B19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Comité de Ética de </w:t>
                  </w:r>
                  <w:r w:rsidR="002C3814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Investig.</w:t>
                  </w:r>
                </w:p>
              </w:tc>
              <w:tc>
                <w:tcPr>
                  <w:tcW w:w="1334" w:type="dxa"/>
                </w:tcPr>
                <w:p w14:paraId="6A02690D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shd w:val="clear" w:color="auto" w:fill="B4C6E7" w:themeFill="accent1" w:themeFillTint="66"/>
                </w:tcPr>
                <w:p w14:paraId="7984F6A7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</w:tcPr>
                <w:p w14:paraId="7CF76A30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5429F6" w:rsidRPr="00457B03" w14:paraId="272E345C" w14:textId="77777777" w:rsidTr="00461151">
              <w:trPr>
                <w:jc w:val="center"/>
              </w:trPr>
              <w:tc>
                <w:tcPr>
                  <w:tcW w:w="4816" w:type="dxa"/>
                </w:tcPr>
                <w:p w14:paraId="4C73C146" w14:textId="4E4C8CF6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Servicios de Informática y Unidad de Comunicación</w:t>
                  </w:r>
                </w:p>
              </w:tc>
              <w:tc>
                <w:tcPr>
                  <w:tcW w:w="1334" w:type="dxa"/>
                </w:tcPr>
                <w:p w14:paraId="0FCA8A3A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</w:tcPr>
                <w:p w14:paraId="682586D8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  <w:shd w:val="clear" w:color="auto" w:fill="B4C6E7" w:themeFill="accent1" w:themeFillTint="66"/>
                </w:tcPr>
                <w:p w14:paraId="02B2FA05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5429F6" w:rsidRPr="00457B03" w14:paraId="4C4C4CD5" w14:textId="77777777" w:rsidTr="00461151">
              <w:trPr>
                <w:jc w:val="center"/>
              </w:trPr>
              <w:tc>
                <w:tcPr>
                  <w:tcW w:w="4816" w:type="dxa"/>
                </w:tcPr>
                <w:p w14:paraId="329B7D26" w14:textId="2F5182A0" w:rsidR="005429F6" w:rsidRPr="00457B03" w:rsidRDefault="005429F6" w:rsidP="00800DE4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Unidades docentes. Juana Mesa  Zaragoza . </w:t>
                  </w:r>
                  <w:r w:rsidR="009A26D0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Secret. Formac. Especializ.</w:t>
                  </w:r>
                </w:p>
              </w:tc>
              <w:tc>
                <w:tcPr>
                  <w:tcW w:w="1334" w:type="dxa"/>
                </w:tcPr>
                <w:p w14:paraId="121CEF7A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shd w:val="clear" w:color="auto" w:fill="B4C6E7" w:themeFill="accent1" w:themeFillTint="66"/>
                </w:tcPr>
                <w:p w14:paraId="7B1BD889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</w:tcPr>
                <w:p w14:paraId="764EE8F7" w14:textId="77777777" w:rsidR="005429F6" w:rsidRPr="00457B03" w:rsidRDefault="005429F6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61151" w:rsidRPr="00457B03" w14:paraId="2D148D74" w14:textId="77777777" w:rsidTr="00461151">
              <w:trPr>
                <w:jc w:val="center"/>
              </w:trPr>
              <w:tc>
                <w:tcPr>
                  <w:tcW w:w="4816" w:type="dxa"/>
                </w:tcPr>
                <w:p w14:paraId="27587D83" w14:textId="32C70124" w:rsidR="009A26D0" w:rsidRPr="00457B03" w:rsidRDefault="009A26D0" w:rsidP="00800DE4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Guadalupe Ruíz Merino. Servicio de apoyo estadístico</w:t>
                  </w:r>
                </w:p>
              </w:tc>
              <w:tc>
                <w:tcPr>
                  <w:tcW w:w="1334" w:type="dxa"/>
                  <w:shd w:val="clear" w:color="auto" w:fill="B4C6E7" w:themeFill="accent1" w:themeFillTint="66"/>
                </w:tcPr>
                <w:p w14:paraId="08D3D705" w14:textId="77777777" w:rsidR="009A26D0" w:rsidRPr="00457B03" w:rsidRDefault="009A26D0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</w:tcPr>
                <w:p w14:paraId="41EC98C8" w14:textId="77777777" w:rsidR="009A26D0" w:rsidRPr="00457B03" w:rsidRDefault="009A26D0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</w:tcPr>
                <w:p w14:paraId="2CAE12D0" w14:textId="77777777" w:rsidR="009A26D0" w:rsidRPr="00457B03" w:rsidRDefault="009A26D0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61151" w:rsidRPr="00457B03" w14:paraId="561D56DC" w14:textId="77777777" w:rsidTr="00461151">
              <w:trPr>
                <w:jc w:val="center"/>
              </w:trPr>
              <w:tc>
                <w:tcPr>
                  <w:tcW w:w="4816" w:type="dxa"/>
                </w:tcPr>
                <w:p w14:paraId="638AAC77" w14:textId="7BF739C5" w:rsidR="009A26D0" w:rsidRPr="00457B03" w:rsidRDefault="0056180B" w:rsidP="00800DE4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Mª del Carmen Martínez Pacheco.</w:t>
                  </w:r>
                  <w:r w:rsidR="009A26D0"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="009A26D0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Serv. apoyo. Data</w:t>
                  </w:r>
                  <w:r w:rsidR="009A26D0" w:rsidRPr="00457B03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 xml:space="preserve"> manager</w:t>
                  </w:r>
                </w:p>
              </w:tc>
              <w:tc>
                <w:tcPr>
                  <w:tcW w:w="1334" w:type="dxa"/>
                  <w:shd w:val="clear" w:color="auto" w:fill="B4C6E7" w:themeFill="accent1" w:themeFillTint="66"/>
                </w:tcPr>
                <w:p w14:paraId="5A073E40" w14:textId="77777777" w:rsidR="009A26D0" w:rsidRPr="00457B03" w:rsidRDefault="009A26D0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</w:tcPr>
                <w:p w14:paraId="62EC021A" w14:textId="77777777" w:rsidR="009A26D0" w:rsidRPr="00457B03" w:rsidRDefault="009A26D0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</w:tcPr>
                <w:p w14:paraId="13198C05" w14:textId="77777777" w:rsidR="009A26D0" w:rsidRPr="00457B03" w:rsidRDefault="009A26D0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  <w:tr w:rsidR="00461151" w:rsidRPr="00457B03" w14:paraId="5B70DEB4" w14:textId="77777777" w:rsidTr="00461151">
              <w:trPr>
                <w:jc w:val="center"/>
              </w:trPr>
              <w:tc>
                <w:tcPr>
                  <w:tcW w:w="4816" w:type="dxa"/>
                </w:tcPr>
                <w:p w14:paraId="78F47685" w14:textId="607B4B8F" w:rsidR="00461151" w:rsidRPr="00457B03" w:rsidRDefault="00581F21" w:rsidP="00800DE4">
                  <w:pP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LID</w:t>
                  </w:r>
                  <w:r w:rsidR="00461151">
                    <w:rPr>
                      <w:rFonts w:ascii="Calibri" w:eastAsia="Calibri" w:hAnsi="Calibri" w:cs="Times New Roman"/>
                      <w:bCs/>
                      <w:color w:val="404040" w:themeColor="text1" w:themeTint="BF"/>
                      <w:sz w:val="16"/>
                      <w:szCs w:val="16"/>
                    </w:rPr>
                    <w:t>iTeB (comité técnico)</w:t>
                  </w:r>
                </w:p>
              </w:tc>
              <w:tc>
                <w:tcPr>
                  <w:tcW w:w="1334" w:type="dxa"/>
                  <w:shd w:val="clear" w:color="auto" w:fill="B4C6E7" w:themeFill="accent1" w:themeFillTint="66"/>
                </w:tcPr>
                <w:p w14:paraId="5573C793" w14:textId="77777777" w:rsidR="00461151" w:rsidRPr="00457B03" w:rsidRDefault="00461151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207" w:type="dxa"/>
                  <w:shd w:val="clear" w:color="auto" w:fill="auto"/>
                </w:tcPr>
                <w:p w14:paraId="55BC2499" w14:textId="77777777" w:rsidR="00461151" w:rsidRPr="00457B03" w:rsidRDefault="00461151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  <w:tc>
                <w:tcPr>
                  <w:tcW w:w="1073" w:type="dxa"/>
                </w:tcPr>
                <w:p w14:paraId="2DD4E563" w14:textId="77777777" w:rsidR="00461151" w:rsidRPr="00457B03" w:rsidRDefault="00461151" w:rsidP="00A3506E">
                  <w:pPr>
                    <w:rPr>
                      <w:rFonts w:ascii="Calibri" w:eastAsia="Calibri" w:hAnsi="Calibri" w:cs="Times New Roman"/>
                      <w:b/>
                      <w:bCs/>
                      <w:color w:val="404040" w:themeColor="text1" w:themeTint="BF"/>
                      <w:sz w:val="16"/>
                      <w:szCs w:val="16"/>
                    </w:rPr>
                  </w:pPr>
                </w:p>
              </w:tc>
            </w:tr>
          </w:tbl>
          <w:p w14:paraId="2CD71205" w14:textId="0DC09FFA" w:rsidR="00DE7F77" w:rsidRPr="00DE7F77" w:rsidRDefault="00DE7F77" w:rsidP="005B2FAE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</w:tr>
    </w:tbl>
    <w:p w14:paraId="5A471868" w14:textId="77777777" w:rsidR="00DD0B9D" w:rsidRDefault="00DD0B9D" w:rsidP="00E60083">
      <w:pPr>
        <w:shd w:val="clear" w:color="auto" w:fill="FFFFFF" w:themeFill="background1"/>
        <w:jc w:val="center"/>
      </w:pPr>
    </w:p>
    <w:p w14:paraId="6049075C" w14:textId="77777777" w:rsidR="00837264" w:rsidRDefault="00837264" w:rsidP="00DD0B9D">
      <w:pPr>
        <w:jc w:val="center"/>
        <w:sectPr w:rsidR="00837264">
          <w:headerReference w:type="default" r:id="rId14"/>
          <w:footerReference w:type="defaul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659E508" w14:textId="07EE7541" w:rsidR="00E60083" w:rsidRPr="00474594" w:rsidRDefault="006A0ACC" w:rsidP="006A0ACC">
      <w:pPr>
        <w:pStyle w:val="Prrafodelista"/>
        <w:numPr>
          <w:ilvl w:val="0"/>
          <w:numId w:val="1"/>
        </w:numPr>
      </w:pPr>
      <w:r>
        <w:rPr>
          <w:rFonts w:ascii="Calibri" w:eastAsia="Calibri" w:hAnsi="Calibri" w:cs="Times New Roman"/>
          <w:b/>
          <w:bCs/>
          <w:color w:val="404040" w:themeColor="text1" w:themeTint="BF"/>
        </w:rPr>
        <w:lastRenderedPageBreak/>
        <w:t>CRONOGRAMA DE LA IMPL</w:t>
      </w:r>
      <w:r w:rsidR="00474594">
        <w:rPr>
          <w:rFonts w:ascii="Calibri" w:eastAsia="Calibri" w:hAnsi="Calibri" w:cs="Times New Roman"/>
          <w:b/>
          <w:bCs/>
          <w:color w:val="404040" w:themeColor="text1" w:themeTint="BF"/>
        </w:rPr>
        <w:t>ANTACIÓN DE LAS RECOMENDACIONES</w:t>
      </w:r>
      <w:r>
        <w:rPr>
          <w:rFonts w:ascii="Calibri" w:eastAsia="Calibri" w:hAnsi="Calibri" w:cs="Times New Roman"/>
          <w:b/>
          <w:bCs/>
          <w:color w:val="404040" w:themeColor="text1" w:themeTint="BF"/>
        </w:rPr>
        <w:t>, CON ACTIVIDADES Y RESPONSABLES  EN CADA ETAPA DE IMPLANTACIÓN.</w:t>
      </w:r>
    </w:p>
    <w:p w14:paraId="12568A80" w14:textId="591014E2" w:rsidR="00E60083" w:rsidRDefault="00E129E1" w:rsidP="006A0ACC">
      <w:pPr>
        <w:ind w:left="-426" w:right="-457"/>
        <w:jc w:val="center"/>
      </w:pPr>
      <w:r>
        <w:rPr>
          <w:noProof/>
          <w:lang w:eastAsia="es-ES"/>
        </w:rPr>
        <w:drawing>
          <wp:inline distT="0" distB="0" distL="0" distR="0" wp14:anchorId="0E5D290B" wp14:editId="267CDBFA">
            <wp:extent cx="9358685" cy="4969566"/>
            <wp:effectExtent l="0" t="0" r="0" b="2540"/>
            <wp:docPr id="3" name="Imagen 3" descr="Interfaz de usuario gráfica, Texto, Aplicación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Texto, Aplicación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356201" cy="496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0083" w:rsidSect="006A0ACC">
      <w:pgSz w:w="16838" w:h="11906" w:orient="landscape"/>
      <w:pgMar w:top="1701" w:right="536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2DBA" w14:textId="77777777" w:rsidR="00DC7B2C" w:rsidRDefault="00DC7B2C" w:rsidP="005552A4">
      <w:pPr>
        <w:spacing w:after="0" w:line="240" w:lineRule="auto"/>
      </w:pPr>
      <w:r>
        <w:separator/>
      </w:r>
    </w:p>
  </w:endnote>
  <w:endnote w:type="continuationSeparator" w:id="0">
    <w:p w14:paraId="530BAF18" w14:textId="77777777" w:rsidR="00DC7B2C" w:rsidRDefault="00DC7B2C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112DC6" w:rsidRDefault="00617FE8" w:rsidP="00B4233E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094C29FB" wp14:editId="49F3334C">
          <wp:extent cx="1047750" cy="497681"/>
          <wp:effectExtent l="0" t="0" r="0" b="0"/>
          <wp:docPr id="12" name="Imagen 1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6FA3" w14:textId="77777777" w:rsidR="00DC7B2C" w:rsidRDefault="00DC7B2C" w:rsidP="005552A4">
      <w:pPr>
        <w:spacing w:after="0" w:line="240" w:lineRule="auto"/>
      </w:pPr>
      <w:r>
        <w:separator/>
      </w:r>
    </w:p>
  </w:footnote>
  <w:footnote w:type="continuationSeparator" w:id="0">
    <w:p w14:paraId="04FA2E7F" w14:textId="77777777" w:rsidR="00DC7B2C" w:rsidRDefault="00DC7B2C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78C496E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076661" cy="914399"/>
          <wp:effectExtent l="0" t="0" r="0" b="635"/>
          <wp:wrapNone/>
          <wp:docPr id="11" name="Imagen 1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4436" cy="914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456BE"/>
    <w:multiLevelType w:val="multilevel"/>
    <w:tmpl w:val="77F6A0A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D7A3705"/>
    <w:multiLevelType w:val="hybridMultilevel"/>
    <w:tmpl w:val="E95891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548374">
    <w:abstractNumId w:val="0"/>
  </w:num>
  <w:num w:numId="2" w16cid:durableId="1042948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A4"/>
    <w:rsid w:val="00026DFC"/>
    <w:rsid w:val="00066D0D"/>
    <w:rsid w:val="00071B3D"/>
    <w:rsid w:val="00084C25"/>
    <w:rsid w:val="000B42EE"/>
    <w:rsid w:val="000E2771"/>
    <w:rsid w:val="000F30B6"/>
    <w:rsid w:val="00112DC6"/>
    <w:rsid w:val="00136429"/>
    <w:rsid w:val="00155659"/>
    <w:rsid w:val="001956DC"/>
    <w:rsid w:val="00277A32"/>
    <w:rsid w:val="002C0359"/>
    <w:rsid w:val="002C3814"/>
    <w:rsid w:val="002E5783"/>
    <w:rsid w:val="0030056B"/>
    <w:rsid w:val="00305537"/>
    <w:rsid w:val="00343F63"/>
    <w:rsid w:val="00363ACC"/>
    <w:rsid w:val="0036588D"/>
    <w:rsid w:val="00386A7B"/>
    <w:rsid w:val="00393EDE"/>
    <w:rsid w:val="003B314F"/>
    <w:rsid w:val="003C7CF1"/>
    <w:rsid w:val="00412CEA"/>
    <w:rsid w:val="00430523"/>
    <w:rsid w:val="00445CFF"/>
    <w:rsid w:val="00457B03"/>
    <w:rsid w:val="004603D1"/>
    <w:rsid w:val="00461151"/>
    <w:rsid w:val="00462C71"/>
    <w:rsid w:val="00474594"/>
    <w:rsid w:val="004A2E5A"/>
    <w:rsid w:val="00525037"/>
    <w:rsid w:val="00534DC5"/>
    <w:rsid w:val="00536F06"/>
    <w:rsid w:val="005425E1"/>
    <w:rsid w:val="005429F6"/>
    <w:rsid w:val="005552A4"/>
    <w:rsid w:val="0056180B"/>
    <w:rsid w:val="00562217"/>
    <w:rsid w:val="00566458"/>
    <w:rsid w:val="00581F21"/>
    <w:rsid w:val="005940F7"/>
    <w:rsid w:val="00594F81"/>
    <w:rsid w:val="005B2FAE"/>
    <w:rsid w:val="005C60D9"/>
    <w:rsid w:val="0060664F"/>
    <w:rsid w:val="00617FE8"/>
    <w:rsid w:val="00624DFE"/>
    <w:rsid w:val="00632670"/>
    <w:rsid w:val="00655F68"/>
    <w:rsid w:val="00681142"/>
    <w:rsid w:val="006A0ACC"/>
    <w:rsid w:val="006A182A"/>
    <w:rsid w:val="006D34E6"/>
    <w:rsid w:val="00704537"/>
    <w:rsid w:val="00717114"/>
    <w:rsid w:val="007217B7"/>
    <w:rsid w:val="00760D67"/>
    <w:rsid w:val="00762D8A"/>
    <w:rsid w:val="00791F6E"/>
    <w:rsid w:val="007E5382"/>
    <w:rsid w:val="00800DE4"/>
    <w:rsid w:val="0082579F"/>
    <w:rsid w:val="00837264"/>
    <w:rsid w:val="008426AA"/>
    <w:rsid w:val="008C7B94"/>
    <w:rsid w:val="008E0E7F"/>
    <w:rsid w:val="008F0F8E"/>
    <w:rsid w:val="00946357"/>
    <w:rsid w:val="00951E0D"/>
    <w:rsid w:val="009648B7"/>
    <w:rsid w:val="009A26D0"/>
    <w:rsid w:val="009A7AA0"/>
    <w:rsid w:val="009E6B7C"/>
    <w:rsid w:val="009F2FB7"/>
    <w:rsid w:val="00A271C1"/>
    <w:rsid w:val="00A564D1"/>
    <w:rsid w:val="00A83BD2"/>
    <w:rsid w:val="00AC3624"/>
    <w:rsid w:val="00B02913"/>
    <w:rsid w:val="00B4233E"/>
    <w:rsid w:val="00B46ADF"/>
    <w:rsid w:val="00B60B6E"/>
    <w:rsid w:val="00B74405"/>
    <w:rsid w:val="00BA6179"/>
    <w:rsid w:val="00BC0719"/>
    <w:rsid w:val="00BE7499"/>
    <w:rsid w:val="00C20121"/>
    <w:rsid w:val="00C95BA3"/>
    <w:rsid w:val="00D20DD4"/>
    <w:rsid w:val="00D22E8D"/>
    <w:rsid w:val="00D3778F"/>
    <w:rsid w:val="00D42364"/>
    <w:rsid w:val="00D86A7B"/>
    <w:rsid w:val="00DB740B"/>
    <w:rsid w:val="00DC7B2C"/>
    <w:rsid w:val="00DD073A"/>
    <w:rsid w:val="00DD0B9D"/>
    <w:rsid w:val="00DD4CC0"/>
    <w:rsid w:val="00DE56C1"/>
    <w:rsid w:val="00DE7F77"/>
    <w:rsid w:val="00E129E1"/>
    <w:rsid w:val="00E3454B"/>
    <w:rsid w:val="00E4334C"/>
    <w:rsid w:val="00E60083"/>
    <w:rsid w:val="00E74966"/>
    <w:rsid w:val="00EB11F4"/>
    <w:rsid w:val="00ED5DCF"/>
    <w:rsid w:val="00ED6EE7"/>
    <w:rsid w:val="00EE476C"/>
    <w:rsid w:val="00F104F0"/>
    <w:rsid w:val="00F15D16"/>
    <w:rsid w:val="00F5683B"/>
    <w:rsid w:val="00F573C2"/>
    <w:rsid w:val="00F71F1F"/>
    <w:rsid w:val="00F757FC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docId w15:val="{3A40FC17-7024-4622-AB3C-E883FAE6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paragraph" w:styleId="Textodeglobo">
    <w:name w:val="Balloon Text"/>
    <w:basedOn w:val="Normal"/>
    <w:link w:val="TextodegloboCar"/>
    <w:uiPriority w:val="99"/>
    <w:semiHidden/>
    <w:unhideWhenUsed/>
    <w:rsid w:val="00DE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F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E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F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E7F77"/>
    <w:rPr>
      <w:color w:val="0563C1" w:themeColor="hyperlink"/>
      <w:u w:val="single"/>
    </w:rPr>
  </w:style>
  <w:style w:type="character" w:customStyle="1" w:styleId="go">
    <w:name w:val="go"/>
    <w:basedOn w:val="Fuentedeprrafopredeter"/>
    <w:rsid w:val="009A26D0"/>
  </w:style>
  <w:style w:type="character" w:customStyle="1" w:styleId="gi">
    <w:name w:val="gi"/>
    <w:basedOn w:val="Fuentedeprrafopredeter"/>
    <w:rsid w:val="009A26D0"/>
  </w:style>
  <w:style w:type="character" w:styleId="Hipervnculovisitado">
    <w:name w:val="FollowedHyperlink"/>
    <w:basedOn w:val="Fuentedeprrafopredeter"/>
    <w:uiPriority w:val="99"/>
    <w:semiHidden/>
    <w:unhideWhenUsed/>
    <w:rsid w:val="005618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9.cl/necin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9.cl/umin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ie.um.es/curie/catalogo-ficha.du?seof_codigo=1&amp;perf_codigo=10&amp;cods=E063*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-cuida2.imib.es/grupoinvestigacion/index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diteb.sait.upct.es/nuestro_equipamient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DC84-12F8-400D-BC1A-3820AFA5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Paricio</dc:creator>
  <cp:lastModifiedBy>jose maria gonzalez gay</cp:lastModifiedBy>
  <cp:revision>2</cp:revision>
  <cp:lastPrinted>2023-03-13T12:46:00Z</cp:lastPrinted>
  <dcterms:created xsi:type="dcterms:W3CDTF">2023-03-13T18:33:00Z</dcterms:created>
  <dcterms:modified xsi:type="dcterms:W3CDTF">2023-03-13T18:33:00Z</dcterms:modified>
</cp:coreProperties>
</file>