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8D1A862" w14:textId="77777777" w:rsidR="00882F5A" w:rsidRDefault="00F757FC" w:rsidP="00882F5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</w:p>
          <w:p w14:paraId="0BA8A4BB" w14:textId="77777777" w:rsidR="00882F5A" w:rsidRDefault="00882F5A" w:rsidP="00882F5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51E252FC" w14:textId="77777777" w:rsidR="00882F5A" w:rsidRDefault="00882F5A" w:rsidP="00882F5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Hospital Clínico San Carlos</w:t>
            </w:r>
          </w:p>
          <w:p w14:paraId="08F238AD" w14:textId="787A9BD8" w:rsidR="00882F5A" w:rsidRPr="00617FE8" w:rsidRDefault="00882F5A" w:rsidP="00882F5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Marzo 2023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01F7D4A" w14:textId="06DEEF98" w:rsidR="007A5A4E" w:rsidRPr="007A5A4E" w:rsidRDefault="0082579F" w:rsidP="00723328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7A5A4E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lastRenderedPageBreak/>
              <w:t>1</w:t>
            </w:r>
            <w:r w:rsidR="007A5A4E" w:rsidRPr="007A5A4E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. P</w:t>
            </w:r>
            <w:r w:rsidRPr="007A5A4E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roceso de identificación de la necesidad de implantar las rec</w:t>
            </w:r>
            <w:r w:rsidR="007A5A4E" w:rsidRPr="007A5A4E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omendaciones y situación basal.</w:t>
            </w:r>
          </w:p>
          <w:p w14:paraId="1917EFFB" w14:textId="0CEBD0DC" w:rsidR="005C4554" w:rsidRPr="00113E40" w:rsidRDefault="00815649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El proceso de identificación de necesidades se realizó a propuesta del Área de Procesos, Investigación, Innovación y Sistema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s de Información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el cual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, tras un análisis comparativo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 las diferentes recomendaciones </w:t>
            </w:r>
            <w:r w:rsidR="00C27B1C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recogidas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en el programa</w:t>
            </w:r>
            <w:r w:rsidR="001168DB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168DB" w:rsidRPr="00113E40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Nursing</w:t>
            </w:r>
            <w:proofErr w:type="spellEnd"/>
            <w:r w:rsidR="001168DB" w:rsidRPr="00113E40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Research Challenge</w:t>
            </w:r>
            <w:r w:rsidR="001168DB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(NRC)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y de las líneas de trabajo y estrategias que desde 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este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Área y desde la Dirección de Enfermería 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estaba previsto poner en marcha</w:t>
            </w:r>
            <w:r w:rsidR="000B4448">
              <w:rPr>
                <w:rFonts w:ascii="Calibri" w:eastAsia="Calibri" w:hAnsi="Calibri" w:cs="Times New Roman"/>
                <w:bCs/>
                <w:sz w:val="18"/>
                <w:szCs w:val="18"/>
              </w:rPr>
              <w:t>, por haber sido identificadas por las enfermeras como líneas deficitarias en la institución</w:t>
            </w:r>
            <w:r w:rsidR="007178ED">
              <w:rPr>
                <w:rFonts w:ascii="Calibri" w:eastAsia="Calibri" w:hAnsi="Calibri" w:cs="Times New Roman"/>
                <w:bCs/>
                <w:sz w:val="18"/>
                <w:szCs w:val="18"/>
              </w:rPr>
              <w:t>. Se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defini</w:t>
            </w:r>
            <w:r w:rsidR="007178ED">
              <w:rPr>
                <w:rFonts w:ascii="Calibri" w:eastAsia="Calibri" w:hAnsi="Calibri" w:cs="Times New Roman"/>
                <w:bCs/>
                <w:sz w:val="18"/>
                <w:szCs w:val="18"/>
              </w:rPr>
              <w:t>eron</w:t>
            </w:r>
            <w:r w:rsidR="00DA6E32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aquellas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  <w:r w:rsidR="00C27B1C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que 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mostraban un claro paralelismo </w:t>
            </w:r>
            <w:r w:rsidR="00C27B1C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y por tanto una potencial sinergia positiva para expandir y potenciar la cultura de la investigación </w:t>
            </w:r>
            <w:r w:rsidR="007178ED">
              <w:rPr>
                <w:rFonts w:ascii="Calibri" w:eastAsia="Calibri" w:hAnsi="Calibri" w:cs="Times New Roman"/>
                <w:bCs/>
                <w:sz w:val="18"/>
                <w:szCs w:val="18"/>
              </w:rPr>
              <w:t>en cuidados</w:t>
            </w:r>
            <w:r w:rsidR="00C27B1C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. </w:t>
            </w:r>
          </w:p>
          <w:p w14:paraId="5CB351E9" w14:textId="07902252" w:rsidR="007A5A4E" w:rsidRPr="00113E40" w:rsidRDefault="00C27B1C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Una vez id</w:t>
            </w:r>
            <w:r w:rsidR="00BF087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entificadas las recomendaciones, la propuesta se presentó al Comité de Di</w:t>
            </w:r>
            <w:r w:rsidR="001168DB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rección de Enfermería, integrado por la Directora, 3 Subdirec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tores y 10 Supervisoras de Área Funcional, representantes de la tota</w:t>
            </w:r>
            <w:r w:rsidR="00394D21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lidad de ámbitos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 la institución. El Comité validó la propuesta entendiendo que la implementación de</w:t>
            </w:r>
            <w:r w:rsidR="00394D21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las r</w:t>
            </w:r>
            <w:r w:rsidR="007E509E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ecomendaciones </w:t>
            </w:r>
            <w:r w:rsidR="00AA34D7">
              <w:rPr>
                <w:rFonts w:ascii="Calibri" w:eastAsia="Calibri" w:hAnsi="Calibri" w:cs="Times New Roman"/>
                <w:bCs/>
                <w:sz w:val="18"/>
                <w:szCs w:val="18"/>
              </w:rPr>
              <w:t>elegidas</w:t>
            </w:r>
            <w:r w:rsidR="007E509E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sería</w:t>
            </w:r>
            <w:r w:rsidR="00394D21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benef</w:t>
            </w:r>
            <w:r w:rsidR="007E509E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iciosa</w:t>
            </w:r>
            <w:r w:rsidR="00394D21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para alcanzar los objetivos</w:t>
            </w:r>
            <w:r w:rsidR="007E509E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del proyecto</w:t>
            </w:r>
            <w:r w:rsidR="00394D21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. </w:t>
            </w:r>
          </w:p>
          <w:p w14:paraId="0A258225" w14:textId="21597D95" w:rsidR="00FC3340" w:rsidRPr="00113E40" w:rsidRDefault="007E509E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En nuestra opinión</w:t>
            </w:r>
            <w:r w:rsidR="005C455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, l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a situación basal en la institución es positiva, dado que la incorporación de estructuras de investigación en cuidados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(Grupo de Investigación en Cuidados del IdISSC), la estrecha vinculación con Universidad (Universidades Complutense y Politécnica de Madrid)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y la participación en 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el Programa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 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Implantación de Buenas P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rácticas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(BPSO)</w:t>
            </w:r>
            <w:r w:rsidR="005C455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durante los 10 últimos años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,</w:t>
            </w:r>
            <w:r w:rsidR="00FC3340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han dado lugar a un movimiento transform</w:t>
            </w:r>
            <w:r w:rsidR="005C455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ad</w:t>
            </w:r>
            <w:r w:rsidR="00AF365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or que pretendemos </w:t>
            </w:r>
            <w:r w:rsidR="005C4554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consolidar.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No obstante, </w:t>
            </w:r>
            <w:r w:rsidR="00D71A4F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necesitamos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un impulso para conseguir que la cultura de la investigación en cuidados se ha extienda de mane</w:t>
            </w:r>
            <w:r w:rsidR="00D71A4F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ra plena entre las enfermeras y se incorpore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como un </w:t>
            </w:r>
            <w:r w:rsidR="00D71A4F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elemento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  <w:r w:rsidR="00D71A4F"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>esencial de la</w:t>
            </w:r>
            <w:r w:rsidRPr="00113E4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profesión. </w:t>
            </w:r>
          </w:p>
          <w:p w14:paraId="5D63A68C" w14:textId="1A3C2AA1" w:rsidR="0074395E" w:rsidRDefault="0082579F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113E40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Listado, por orden de prioridad, de las recomendaciones de cada eje que la institución está interesada en implantar y evaluar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13C32AA" w14:textId="14318C54" w:rsidR="0033611D" w:rsidRDefault="0033611D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Las recomendaciones seleccionadas </w:t>
            </w:r>
            <w:r w:rsidR="00C542C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fueron priorizadas según criterios de practicidad, alcance y dificultad, dando una especial relevancia a las recomendaciones que estrechan la relación entre investigación y práctica, </w:t>
            </w:r>
            <w:r w:rsidR="000B444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aquellas que puedan tener impacto en el mayor número de profesionales, dejando en último lugar </w:t>
            </w:r>
            <w:r w:rsidR="007178E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las</w:t>
            </w:r>
            <w:r w:rsidR="000B444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que potencian la investigación </w:t>
            </w:r>
            <w:r w:rsidR="007178E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 un más</w:t>
            </w:r>
            <w:r w:rsidR="000B444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alto nivel. Las recomendaciones seleccionadas y priorizadas son: </w:t>
            </w:r>
          </w:p>
          <w:p w14:paraId="3D20D617" w14:textId="32587A61" w:rsidR="004114AB" w:rsidRPr="00050A12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050A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Vincular la práctica clínica y la investigación. Cualquier implantación en la práctica clínica requiere evaluar esa ejecución y eso debe hacerse con calidad metodológica y rigor científico. Esa puede ser una importante fuente de proyectos de investigación (</w:t>
            </w:r>
            <w:r w:rsidR="00AA6B2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6</w:t>
            </w:r>
            <w:r w:rsidRPr="00050A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  <w:r w:rsidR="00060A8D" w:rsidRPr="00050A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6E808E96" w14:textId="266D751C" w:rsidR="004114AB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Identificar necesidades de investigación en la evaluación de la práctica asistencial (</w:t>
            </w:r>
            <w:r w:rsidR="00AA6B2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6</w:t>
            </w: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  <w:r w:rsidR="00060A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1AFE4794" w14:textId="7A1DB4FC" w:rsidR="004114AB" w:rsidRPr="004114AB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Aumentar la formación continuada en metodología de la investigación de forma multidisciplinar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2</w:t>
            </w: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  <w:r w:rsidR="00060A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7A8E40E7" w14:textId="52F73301" w:rsidR="00F14FF3" w:rsidRDefault="00F14FF3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F14FF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Incorporar a proyectos de investigación de enfermeras noveles y desarrollar competencias en investigación con estrategias, tipo </w:t>
            </w:r>
            <w:proofErr w:type="spellStart"/>
            <w:r w:rsidRPr="00F14FF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mentoring</w:t>
            </w:r>
            <w:proofErr w:type="spellEnd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2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  <w:r w:rsidR="00060A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41F8677B" w14:textId="5BE0D81D" w:rsidR="004114AB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F14FF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Favorecer la inclusión de enfermeras en los grupos de investigación multidisciplinares. Reconocimiento de la participación de las enfermeras en un grupo de investigación (como trabajo de campo, investigador/a colaborador/a o investigador/a principal)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4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01E85C4B" w14:textId="6CE0CCBD" w:rsidR="004114AB" w:rsidRPr="004114AB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los proyectos existentes y un proceso de captación más elaborado y facilitador para atraer a enfermeras interesadas en participar en grupos de investigación multidisciplinares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3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729DA2C2" w14:textId="1DACB047" w:rsidR="00113E40" w:rsidRDefault="004114AB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una base de datos de enfermeras interesadas en investigar, con sus líneas de investigación o áreas de interés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1</w:t>
            </w:r>
            <w:r w:rsidRPr="004114A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76706932" w14:textId="63856A0E" w:rsid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convocatorias, premios, recursos institucionales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3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75513755" w14:textId="0BDF0A03" w:rsidR="00113E40" w:rsidRP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repositorio web, donde poder consultar los proyectos de investigación en los que se está trabajando o se ha trabajado en la Organización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3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400B3612" w14:textId="6B674E36" w:rsid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Difundir lo que se hace y fomentar el trabajo en red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3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0C6C83C1" w14:textId="0F8D0ED7" w:rsid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asistencia a foros científicos (Jornadas, Congresos…) así como la formación continuada (</w:t>
            </w:r>
            <w:r w:rsidR="00AA6B2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5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4F807388" w14:textId="376F2455" w:rsid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Implicación de los mandos intermedios. Competencias en investigación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5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379CD677" w14:textId="6137CE45" w:rsid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Potenciar modelos como la enfermera de práctica avanzada (EPA) con contenidos docentes e investigadores claramente definidos entre sus competencias. Abrir líneas de investigación lideradas por estas figuras. Grupos de trabajo nacionales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5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74836759" w14:textId="05268607" w:rsidR="00113E40" w:rsidRPr="00113E40" w:rsidRDefault="00113E40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equipos de trabajo conjuntos y la realización de proyectos multicéntricos. Configurar grupos de investigación, grupos de apoyo, grupos de alto rendimiento para temas concretos…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4</w:t>
            </w: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7E26B153" w14:textId="7674BE30" w:rsidR="00113E40" w:rsidRPr="00113E40" w:rsidRDefault="0051611F" w:rsidP="00723328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355" w:hanging="77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“mapa de enfermeras con formación avanzada en investigación. “Identificar a aquellos profesionales con competencias en investigación y proporcionar los medios y estructuras disponibles para que puedan colaborar entre ellos/as</w:t>
            </w:r>
            <w:r w:rsidR="00113E40"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</w:t>
            </w:r>
            <w:r w:rsidR="00A3570D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EJE 1</w:t>
            </w:r>
            <w:r w:rsidR="00113E40" w:rsidRPr="00113E4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3E43F46B" w14:textId="1E5A3EAB" w:rsidR="0051611F" w:rsidRPr="00AA34D7" w:rsidRDefault="00113E40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AA34D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3. Descripción del proceso de implantación (estrategia, actividades, evaluación y recursos);</w:t>
            </w:r>
          </w:p>
          <w:p w14:paraId="635EF815" w14:textId="4FC0408A" w:rsidR="00A26E19" w:rsidRDefault="000B4448" w:rsidP="00723328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El proceso de implantación </w:t>
            </w:r>
            <w:r w:rsidR="007178E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dirigirá a la totalidad de enfermeras de la institución, independientemente del ámbito de trabajo, de sus conocimientos o capacidades de investigación, siendo por tanto una estrategia</w:t>
            </w:r>
            <w:r w:rsidR="00FD682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sistemática</w:t>
            </w:r>
            <w:r w:rsidR="007178E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extensiva, transversal, </w:t>
            </w:r>
            <w:r w:rsidR="00FD682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personalizada</w:t>
            </w:r>
            <w:r w:rsidR="00AA34D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</w:t>
            </w:r>
            <w:r w:rsidR="00FD682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colaborativa</w:t>
            </w:r>
            <w:r w:rsidR="00AA34D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sostenible</w:t>
            </w:r>
            <w:r w:rsidR="00050A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Se desarrollará al menos una actividad exclusiva por </w:t>
            </w:r>
            <w:r w:rsidR="00050A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>recomendación, aunque algunas actividades puedan asociarse a más de una recomendación. Las actividades por recomendación serán:</w:t>
            </w:r>
          </w:p>
          <w:tbl>
            <w:tblPr>
              <w:tblStyle w:val="Tablaconcuadrcula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7"/>
              <w:gridCol w:w="7447"/>
            </w:tblGrid>
            <w:tr w:rsidR="00F858D8" w14:paraId="241A6C0B" w14:textId="77777777" w:rsidTr="00723328">
              <w:tc>
                <w:tcPr>
                  <w:tcW w:w="633" w:type="dxa"/>
                </w:tcPr>
                <w:p w14:paraId="47455378" w14:textId="779CC36D" w:rsidR="00F858D8" w:rsidRPr="0072332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72332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Id </w:t>
                  </w:r>
                  <w:proofErr w:type="spellStart"/>
                  <w:r w:rsidRPr="0072332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Act</w:t>
                  </w:r>
                  <w:proofErr w:type="spellEnd"/>
                  <w:r w:rsidRPr="0072332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499FFD1B" w14:textId="1E497405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Rec</w:t>
                  </w:r>
                  <w:proofErr w:type="spellEnd"/>
                </w:p>
              </w:tc>
              <w:tc>
                <w:tcPr>
                  <w:tcW w:w="7447" w:type="dxa"/>
                </w:tcPr>
                <w:p w14:paraId="19BDDED6" w14:textId="647C94C2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Actividad</w:t>
                  </w:r>
                </w:p>
              </w:tc>
            </w:tr>
            <w:tr w:rsidR="00F858D8" w14:paraId="46F2A07A" w14:textId="77777777" w:rsidTr="00723328">
              <w:tc>
                <w:tcPr>
                  <w:tcW w:w="633" w:type="dxa"/>
                  <w:vAlign w:val="center"/>
                </w:tcPr>
                <w:p w14:paraId="24AFB398" w14:textId="1A63C659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0389A0A5" w14:textId="00BCFF14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47" w:type="dxa"/>
                </w:tcPr>
                <w:p w14:paraId="51E485EC" w14:textId="6EA63B0C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Desarrollar e implementar un circuito de investigación asociado a la implantación de prácticas clínicas en colaboración con la Comisión de Buenas Prácticas y en línea con el Programa de Centros Comprometidos con la Excelencia en Cuidados.</w:t>
                  </w:r>
                </w:p>
              </w:tc>
            </w:tr>
            <w:tr w:rsidR="00F858D8" w14:paraId="31AE99AC" w14:textId="77777777" w:rsidTr="00723328">
              <w:tc>
                <w:tcPr>
                  <w:tcW w:w="633" w:type="dxa"/>
                  <w:vAlign w:val="center"/>
                </w:tcPr>
                <w:p w14:paraId="7E67C1E9" w14:textId="6569390F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67" w:type="dxa"/>
                  <w:vAlign w:val="center"/>
                </w:tcPr>
                <w:p w14:paraId="6D86F6FC" w14:textId="10BEF0AF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47" w:type="dxa"/>
                </w:tcPr>
                <w:p w14:paraId="6DBE1EC0" w14:textId="6C4D665E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Constituir un foro de colaboración entre enfermeras asistenciales en los que puedan generar y compartir preguntas subsidiarias de investigación. </w:t>
                  </w:r>
                </w:p>
              </w:tc>
            </w:tr>
            <w:tr w:rsidR="00F858D8" w14:paraId="1202FD6C" w14:textId="77777777" w:rsidTr="00723328">
              <w:tc>
                <w:tcPr>
                  <w:tcW w:w="633" w:type="dxa"/>
                  <w:vAlign w:val="center"/>
                </w:tcPr>
                <w:p w14:paraId="727C1FDD" w14:textId="17C0C51F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1EDF5BA5" w14:textId="5956E22B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47" w:type="dxa"/>
                </w:tcPr>
                <w:p w14:paraId="79CB943E" w14:textId="7F3A9C19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Elaborar y poner en marcha un itinerario de formación continuada acreditada en investigación, estratificado en al menos dos niveles: básico y medio.</w:t>
                  </w:r>
                </w:p>
              </w:tc>
            </w:tr>
            <w:tr w:rsidR="00F858D8" w14:paraId="26D3C6FD" w14:textId="77777777" w:rsidTr="00723328">
              <w:tc>
                <w:tcPr>
                  <w:tcW w:w="633" w:type="dxa"/>
                  <w:vAlign w:val="center"/>
                </w:tcPr>
                <w:p w14:paraId="5B63DCC6" w14:textId="6E279050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21198D92" w14:textId="7ED82E3E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47" w:type="dxa"/>
                </w:tcPr>
                <w:p w14:paraId="6C58D442" w14:textId="2259E80A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Implementar un sistema de tutorización de investigadores nóveles para el desarrollo y ejecución de proyectos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c>
            </w:tr>
            <w:tr w:rsidR="00F858D8" w14:paraId="08414976" w14:textId="77777777" w:rsidTr="00723328">
              <w:tc>
                <w:tcPr>
                  <w:tcW w:w="633" w:type="dxa"/>
                  <w:vAlign w:val="center"/>
                </w:tcPr>
                <w:p w14:paraId="67A7DCE1" w14:textId="1DE2409E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2DD188F8" w14:textId="0BD5A0CE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47" w:type="dxa"/>
                </w:tcPr>
                <w:p w14:paraId="5A8054C7" w14:textId="4BABEE50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Aumentar la visibilidad del Grupo de Investigación en Cuidados, criterios de admisión y permanencia</w:t>
                  </w:r>
                </w:p>
              </w:tc>
            </w:tr>
            <w:tr w:rsidR="00F858D8" w14:paraId="440BD2DC" w14:textId="77777777" w:rsidTr="00723328">
              <w:tc>
                <w:tcPr>
                  <w:tcW w:w="633" w:type="dxa"/>
                  <w:vAlign w:val="center"/>
                </w:tcPr>
                <w:p w14:paraId="42D5EE34" w14:textId="14A50B94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67" w:type="dxa"/>
                  <w:vAlign w:val="center"/>
                </w:tcPr>
                <w:p w14:paraId="2420217A" w14:textId="1AB9F573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47" w:type="dxa"/>
                </w:tcPr>
                <w:p w14:paraId="7FB0FDF6" w14:textId="05DB68D2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Desarrollo de un portal interno de investigación con diferentes recursos para los profesionales.</w:t>
                  </w:r>
                </w:p>
              </w:tc>
            </w:tr>
            <w:tr w:rsidR="00F858D8" w14:paraId="18291F2F" w14:textId="77777777" w:rsidTr="00723328">
              <w:tc>
                <w:tcPr>
                  <w:tcW w:w="633" w:type="dxa"/>
                  <w:vAlign w:val="center"/>
                </w:tcPr>
                <w:p w14:paraId="02524BC7" w14:textId="7C9DFBDA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567" w:type="dxa"/>
                  <w:vAlign w:val="center"/>
                </w:tcPr>
                <w:p w14:paraId="2A31C7C4" w14:textId="53D3D9B9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47" w:type="dxa"/>
                </w:tcPr>
                <w:p w14:paraId="52C98611" w14:textId="67969E29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Construir un Censo de Investigadores cuya información pueda compartirse tanto a nivel interno como externo.</w:t>
                  </w:r>
                </w:p>
              </w:tc>
            </w:tr>
            <w:tr w:rsidR="00F858D8" w14:paraId="4AFEF2DA" w14:textId="77777777" w:rsidTr="00723328">
              <w:tc>
                <w:tcPr>
                  <w:tcW w:w="633" w:type="dxa"/>
                  <w:vAlign w:val="center"/>
                </w:tcPr>
                <w:p w14:paraId="6B4C0CFD" w14:textId="31B76658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67" w:type="dxa"/>
                  <w:vAlign w:val="center"/>
                </w:tcPr>
                <w:p w14:paraId="5F9B382D" w14:textId="63DE0CF1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47" w:type="dxa"/>
                </w:tcPr>
                <w:p w14:paraId="60C6F056" w14:textId="0C800B31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Desarrollar un plan de marketing de la investigación basado en medios de comunicación de máximo impacto.</w:t>
                  </w:r>
                </w:p>
              </w:tc>
            </w:tr>
            <w:tr w:rsidR="00F858D8" w14:paraId="7A96B28A" w14:textId="77777777" w:rsidTr="00723328">
              <w:tc>
                <w:tcPr>
                  <w:tcW w:w="633" w:type="dxa"/>
                  <w:vAlign w:val="center"/>
                </w:tcPr>
                <w:p w14:paraId="2C273D00" w14:textId="024C5318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14:paraId="785BEBAF" w14:textId="451C760B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47" w:type="dxa"/>
                </w:tcPr>
                <w:p w14:paraId="796D8BBC" w14:textId="687E2CB6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Desarrollar un repositorio web que recoja la producción científica de las enfermeras de la institución, tanto de los proyectos como de la difusión de resultados.</w:t>
                  </w:r>
                </w:p>
              </w:tc>
            </w:tr>
            <w:tr w:rsidR="00F858D8" w14:paraId="427B5D46" w14:textId="77777777" w:rsidTr="00723328">
              <w:tc>
                <w:tcPr>
                  <w:tcW w:w="633" w:type="dxa"/>
                  <w:vAlign w:val="center"/>
                </w:tcPr>
                <w:p w14:paraId="48FC787E" w14:textId="11B6213F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67" w:type="dxa"/>
                  <w:vAlign w:val="center"/>
                </w:tcPr>
                <w:p w14:paraId="18A75DCE" w14:textId="39B534A1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47" w:type="dxa"/>
                </w:tcPr>
                <w:p w14:paraId="67C66E1E" w14:textId="61905812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Programa de cooperación entre enfermeras de distintos servicios, grupos e instituciones para el desarrollo de proyectos conjuntos.</w:t>
                  </w:r>
                </w:p>
              </w:tc>
            </w:tr>
            <w:tr w:rsidR="00F858D8" w14:paraId="4EF2FAA9" w14:textId="77777777" w:rsidTr="00723328">
              <w:tc>
                <w:tcPr>
                  <w:tcW w:w="633" w:type="dxa"/>
                  <w:vAlign w:val="center"/>
                </w:tcPr>
                <w:p w14:paraId="440830DE" w14:textId="5A8705FA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Align w:val="center"/>
                </w:tcPr>
                <w:p w14:paraId="0947922A" w14:textId="72C77924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47" w:type="dxa"/>
                </w:tcPr>
                <w:p w14:paraId="19BEFCBF" w14:textId="7A8794DF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Instaurar y mantener un sistema de financiación para la asistencia a eventos científicos en la institución.</w:t>
                  </w:r>
                </w:p>
              </w:tc>
            </w:tr>
            <w:tr w:rsidR="00F858D8" w14:paraId="01CFE52D" w14:textId="77777777" w:rsidTr="00723328">
              <w:tc>
                <w:tcPr>
                  <w:tcW w:w="633" w:type="dxa"/>
                  <w:vAlign w:val="center"/>
                </w:tcPr>
                <w:p w14:paraId="64816776" w14:textId="1F979125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 w14:paraId="536B0982" w14:textId="2D53406C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47" w:type="dxa"/>
                </w:tcPr>
                <w:p w14:paraId="4C58B2CB" w14:textId="6DDB4C11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Considerar la formación, méritos y compromiso con la investigación en la definición de perfiles para convocatorias de supervisión y Enfermera de Práctica Avanzada. Integrar actividades y resultados de investigación entre los objetivos anuales de las unidades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c>
            </w:tr>
            <w:tr w:rsidR="00F858D8" w14:paraId="567FFD97" w14:textId="77777777" w:rsidTr="00723328">
              <w:tc>
                <w:tcPr>
                  <w:tcW w:w="633" w:type="dxa"/>
                  <w:vAlign w:val="center"/>
                </w:tcPr>
                <w:p w14:paraId="645016C0" w14:textId="073079E1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  <w:vAlign w:val="center"/>
                </w:tcPr>
                <w:p w14:paraId="6F85A454" w14:textId="2405925A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47" w:type="dxa"/>
                </w:tcPr>
                <w:p w14:paraId="74FE2FE3" w14:textId="012D0EAB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Desarrollar y consolidar líneas de investigación vinculadas a las figuras EPA (úlceras por presión, </w:t>
                  </w:r>
                  <w:proofErr w:type="spellStart"/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estomaterapia</w:t>
                  </w:r>
                  <w:proofErr w:type="spellEnd"/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, disfagia, continuidad asistencial, terapia intravenosa, gestión de casos…).</w:t>
                  </w:r>
                </w:p>
              </w:tc>
            </w:tr>
            <w:tr w:rsidR="00F858D8" w14:paraId="4B12FB58" w14:textId="77777777" w:rsidTr="00723328">
              <w:tc>
                <w:tcPr>
                  <w:tcW w:w="633" w:type="dxa"/>
                  <w:vAlign w:val="center"/>
                </w:tcPr>
                <w:p w14:paraId="336C0027" w14:textId="32414DB7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14:paraId="514EA92A" w14:textId="0E2961E6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47" w:type="dxa"/>
                </w:tcPr>
                <w:p w14:paraId="51BC97A8" w14:textId="2D822F8E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Puesta en marcha de revitalización del Grupo de Investigación en Cuidados y actualización de las Líneas de Investigación.</w:t>
                  </w:r>
                </w:p>
              </w:tc>
            </w:tr>
            <w:tr w:rsidR="00F858D8" w14:paraId="2B93A663" w14:textId="77777777" w:rsidTr="00723328">
              <w:tc>
                <w:tcPr>
                  <w:tcW w:w="633" w:type="dxa"/>
                  <w:vAlign w:val="center"/>
                </w:tcPr>
                <w:p w14:paraId="4F33D545" w14:textId="5A62EE38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67" w:type="dxa"/>
                  <w:vAlign w:val="center"/>
                </w:tcPr>
                <w:p w14:paraId="12898971" w14:textId="2C6AE05C" w:rsidR="00F858D8" w:rsidRDefault="00F858D8" w:rsidP="00723328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47" w:type="dxa"/>
                </w:tcPr>
                <w:p w14:paraId="416A7191" w14:textId="70DF113C" w:rsidR="00F858D8" w:rsidRPr="00F858D8" w:rsidRDefault="00F858D8" w:rsidP="00723328">
                  <w:pPr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F858D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Construir un Censo de Investigadores cuya información pueda compartirse tanto a nivel interno como externo.</w:t>
                  </w:r>
                </w:p>
              </w:tc>
            </w:tr>
          </w:tbl>
          <w:p w14:paraId="442C41F8" w14:textId="77777777" w:rsidR="00F858D8" w:rsidRDefault="00F858D8" w:rsidP="00723328">
            <w:pPr>
              <w:spacing w:line="24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5D1F5F10" w14:textId="7BE2BAFC" w:rsidR="00C3042B" w:rsidRDefault="0082579F" w:rsidP="00723328">
            <w:p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acometer la propuesta y su interacción, </w:t>
            </w:r>
          </w:p>
          <w:p w14:paraId="5B1ECEB8" w14:textId="73F22EA8" w:rsidR="00C3042B" w:rsidRDefault="009B4461" w:rsidP="00723328">
            <w:p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Responsable del Proyecto: Daniel Muñoz Jiménez (PhD, </w:t>
            </w:r>
            <w:proofErr w:type="spellStart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MsC</w:t>
            </w:r>
            <w:proofErr w:type="spellEnd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Rn). Supervisor del Área Funcional de Procesos, Investigación, Innovación y Sistemas de Información. </w:t>
            </w:r>
            <w:r w:rsidR="004C2A1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CO-IP Grupo de Investigación en Cuidados.</w:t>
            </w:r>
          </w:p>
          <w:p w14:paraId="434D01E7" w14:textId="060E38BA" w:rsidR="009B4461" w:rsidRDefault="009B4461" w:rsidP="00723328">
            <w:p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 estructura de implantación estará constituida por dos equipos</w:t>
            </w:r>
            <w:r w:rsidR="004C2A1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integrados a través del responsable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: </w:t>
            </w:r>
          </w:p>
          <w:p w14:paraId="22773A58" w14:textId="53C76F22" w:rsidR="009B4461" w:rsidRPr="00767522" w:rsidRDefault="009B4461" w:rsidP="0072332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76752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Estratégico. Constituido por la </w:t>
            </w:r>
            <w:r w:rsidR="00767522" w:rsidRPr="0076752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Dirección de Enfermería,</w:t>
            </w:r>
            <w:r w:rsidRPr="0076752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5 supervisiones de áreas clínicas y 4 supervisoras de áreas transversales (Calidad, Docencia, RRHH y RRMM). </w:t>
            </w:r>
            <w:r w:rsidR="007E7BCF" w:rsidRPr="0076752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los 13 componentes 4 tienen la capacitación investigadora como Doctores. </w:t>
            </w:r>
          </w:p>
          <w:p w14:paraId="0877EC13" w14:textId="03BA0FC7" w:rsidR="00F858D8" w:rsidRPr="00F858D8" w:rsidRDefault="007E7BCF" w:rsidP="0072332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76752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Operativo. 4 enfermeras del Área de Procesos, Investigación, Innovación y Sistemas de Información. </w:t>
            </w:r>
            <w:r w:rsidR="006A2D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(JAG, JCS, EPC, AFC)</w:t>
            </w:r>
            <w:r w:rsidR="001A0E0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 De los 4 componentes 1 sustenta el título de Doctor y otro está en proceso de obtención.</w:t>
            </w:r>
          </w:p>
          <w:p w14:paraId="4B085746" w14:textId="088B10F9" w:rsidR="0082579F" w:rsidRDefault="0082579F" w:rsidP="00723328">
            <w:pPr>
              <w:spacing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Cronograma de la implantación de las recomendaciones, con actividades a realizar y responsables en cada etapa de la implantación.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1559"/>
              <w:gridCol w:w="1417"/>
              <w:gridCol w:w="1560"/>
              <w:gridCol w:w="1417"/>
              <w:gridCol w:w="1627"/>
            </w:tblGrid>
            <w:tr w:rsidR="009D5C85" w14:paraId="79FFADEC" w14:textId="77777777" w:rsidTr="00BB460A">
              <w:tc>
                <w:tcPr>
                  <w:tcW w:w="917" w:type="dxa"/>
                </w:tcPr>
                <w:p w14:paraId="34D5C5AE" w14:textId="3A4E7391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1559" w:type="dxa"/>
                </w:tcPr>
                <w:p w14:paraId="080D6A1F" w14:textId="340659E7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1417" w:type="dxa"/>
                </w:tcPr>
                <w:p w14:paraId="05ACECCD" w14:textId="14AF5F95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Año 1</w:t>
                  </w:r>
                </w:p>
              </w:tc>
              <w:tc>
                <w:tcPr>
                  <w:tcW w:w="1560" w:type="dxa"/>
                </w:tcPr>
                <w:p w14:paraId="5605172A" w14:textId="26F283B7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Año 2</w:t>
                  </w:r>
                </w:p>
              </w:tc>
              <w:tc>
                <w:tcPr>
                  <w:tcW w:w="1417" w:type="dxa"/>
                </w:tcPr>
                <w:p w14:paraId="1C5683EC" w14:textId="40B3B9E1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627" w:type="dxa"/>
                </w:tcPr>
                <w:p w14:paraId="3E0FAA29" w14:textId="49EEC1A2" w:rsidR="009D5C85" w:rsidRDefault="009D5C85" w:rsidP="001B56B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Año 4</w:t>
                  </w:r>
                </w:p>
              </w:tc>
            </w:tr>
            <w:tr w:rsidR="009D5C85" w14:paraId="60B321ED" w14:textId="77777777" w:rsidTr="00BB460A">
              <w:tc>
                <w:tcPr>
                  <w:tcW w:w="917" w:type="dxa"/>
                </w:tcPr>
                <w:p w14:paraId="60C03E6E" w14:textId="72B3CC14" w:rsidR="009D5C85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14:paraId="4A27DA00" w14:textId="13387C20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C2A19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SAF CALIDAD</w:t>
                  </w:r>
                  <w:r w:rsidR="00BB460A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Y PROCESOS (AFC)</w:t>
                  </w: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75E31C3F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FFE599" w:themeFill="accent4" w:themeFillTint="66"/>
                </w:tcPr>
                <w:p w14:paraId="24BF8C75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637C29D0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FFE599" w:themeFill="accent4" w:themeFillTint="66"/>
                </w:tcPr>
                <w:p w14:paraId="2D5CEB14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9D5C85" w14:paraId="1B9A9546" w14:textId="77777777" w:rsidTr="00BB460A">
              <w:tc>
                <w:tcPr>
                  <w:tcW w:w="917" w:type="dxa"/>
                </w:tcPr>
                <w:p w14:paraId="53295BC3" w14:textId="0960D896" w:rsidR="009D5C85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14:paraId="74B2196F" w14:textId="001A514B" w:rsidR="009D5C85" w:rsidRPr="004C2A19" w:rsidRDefault="006A2D4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7" w:type="dxa"/>
                  <w:shd w:val="clear" w:color="auto" w:fill="BDD6EE" w:themeFill="accent5" w:themeFillTint="66"/>
                </w:tcPr>
                <w:p w14:paraId="6F86B01B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BDD6EE" w:themeFill="accent5" w:themeFillTint="66"/>
                </w:tcPr>
                <w:p w14:paraId="1D1EF485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BDD6EE" w:themeFill="accent5" w:themeFillTint="66"/>
                </w:tcPr>
                <w:p w14:paraId="47975DC5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BDD6EE" w:themeFill="accent5" w:themeFillTint="66"/>
                </w:tcPr>
                <w:p w14:paraId="14F52509" w14:textId="77777777" w:rsidR="009D5C85" w:rsidRPr="004C2A19" w:rsidRDefault="009D5C8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C2A19" w14:paraId="522488ED" w14:textId="77777777" w:rsidTr="00BB460A">
              <w:tc>
                <w:tcPr>
                  <w:tcW w:w="917" w:type="dxa"/>
                </w:tcPr>
                <w:p w14:paraId="145D7174" w14:textId="6361957B" w:rsid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</w:tcPr>
                <w:p w14:paraId="5FD62C81" w14:textId="6F5851FC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SAF DOCENCIA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14:paraId="36764800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C5E0B3" w:themeFill="accent6" w:themeFillTint="66"/>
                </w:tcPr>
                <w:p w14:paraId="72B4FA7E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14:paraId="23FAB374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C5E0B3" w:themeFill="accent6" w:themeFillTint="66"/>
                </w:tcPr>
                <w:p w14:paraId="63C33065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C2A19" w14:paraId="17ABB699" w14:textId="77777777" w:rsidTr="00BB460A">
              <w:tc>
                <w:tcPr>
                  <w:tcW w:w="917" w:type="dxa"/>
                </w:tcPr>
                <w:p w14:paraId="55B1B7AA" w14:textId="3188BD8F" w:rsid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59" w:type="dxa"/>
                </w:tcPr>
                <w:p w14:paraId="1DDFE9E0" w14:textId="153CD797" w:rsidR="004C2A19" w:rsidRPr="004C2A19" w:rsidRDefault="006A2D4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PROCESOS (EPC)</w:t>
                  </w:r>
                </w:p>
              </w:tc>
              <w:tc>
                <w:tcPr>
                  <w:tcW w:w="1417" w:type="dxa"/>
                </w:tcPr>
                <w:p w14:paraId="321BE62E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735A4834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6990D665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BFBFBF" w:themeFill="background1" w:themeFillShade="BF"/>
                </w:tcPr>
                <w:p w14:paraId="747DC2EB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C2A19" w14:paraId="5AA90087" w14:textId="77777777" w:rsidTr="00BB460A">
              <w:tc>
                <w:tcPr>
                  <w:tcW w:w="917" w:type="dxa"/>
                </w:tcPr>
                <w:p w14:paraId="2E63F82D" w14:textId="767EF3DA" w:rsid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559" w:type="dxa"/>
                </w:tcPr>
                <w:p w14:paraId="4C34A0E7" w14:textId="3645988D" w:rsidR="004C2A19" w:rsidRPr="004C2A19" w:rsidRDefault="006A2D4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7" w:type="dxa"/>
                </w:tcPr>
                <w:p w14:paraId="1A0D8D7F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FFFF00"/>
                </w:tcPr>
                <w:p w14:paraId="14F9F0DE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00"/>
                </w:tcPr>
                <w:p w14:paraId="539A432C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FFFF00"/>
                </w:tcPr>
                <w:p w14:paraId="600FD69C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C2A19" w14:paraId="4063ACCA" w14:textId="77777777" w:rsidTr="00BB460A">
              <w:tc>
                <w:tcPr>
                  <w:tcW w:w="917" w:type="dxa"/>
                </w:tcPr>
                <w:p w14:paraId="1C812269" w14:textId="4AE88E55" w:rsid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559" w:type="dxa"/>
                </w:tcPr>
                <w:p w14:paraId="2111C773" w14:textId="03DF5809" w:rsidR="004C2A19" w:rsidRPr="004C2A19" w:rsidRDefault="006A2D4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PROCESOS (JCS)</w:t>
                  </w:r>
                </w:p>
              </w:tc>
              <w:tc>
                <w:tcPr>
                  <w:tcW w:w="1417" w:type="dxa"/>
                </w:tcPr>
                <w:p w14:paraId="421D4E2F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92D050"/>
                </w:tcPr>
                <w:p w14:paraId="794D3EE2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92D050"/>
                </w:tcPr>
                <w:p w14:paraId="23724DD4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92D050"/>
                </w:tcPr>
                <w:p w14:paraId="73207CE1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3EB9831E" w14:textId="77777777" w:rsidTr="00BB460A">
              <w:tc>
                <w:tcPr>
                  <w:tcW w:w="917" w:type="dxa"/>
                </w:tcPr>
                <w:p w14:paraId="15E35150" w14:textId="221F9093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 - O</w:t>
                  </w:r>
                </w:p>
              </w:tc>
              <w:tc>
                <w:tcPr>
                  <w:tcW w:w="1559" w:type="dxa"/>
                </w:tcPr>
                <w:p w14:paraId="4CB3160C" w14:textId="3F47EEBF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PROCESOS (JAG)</w:t>
                  </w:r>
                </w:p>
              </w:tc>
              <w:tc>
                <w:tcPr>
                  <w:tcW w:w="1417" w:type="dxa"/>
                </w:tcPr>
                <w:p w14:paraId="0D6195BE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F4B083" w:themeFill="accent2" w:themeFillTint="99"/>
                </w:tcPr>
                <w:p w14:paraId="73BA4328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4B083" w:themeFill="accent2" w:themeFillTint="99"/>
                </w:tcPr>
                <w:p w14:paraId="4BAF4B05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F4B083" w:themeFill="accent2" w:themeFillTint="99"/>
                </w:tcPr>
                <w:p w14:paraId="1EDDD177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C2A19" w14:paraId="052B1FC4" w14:textId="77777777" w:rsidTr="00BB460A">
              <w:tc>
                <w:tcPr>
                  <w:tcW w:w="917" w:type="dxa"/>
                </w:tcPr>
                <w:p w14:paraId="42810870" w14:textId="626E4558" w:rsid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59" w:type="dxa"/>
                </w:tcPr>
                <w:p w14:paraId="6B2D820F" w14:textId="4959A91F" w:rsidR="004C2A19" w:rsidRPr="004C2A19" w:rsidRDefault="006A2D45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PROCESOS (J</w:t>
                  </w:r>
                  <w:r w:rsidR="00BB460A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4BE35D54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FF0000"/>
                </w:tcPr>
                <w:p w14:paraId="6C803E4C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0000"/>
                </w:tcPr>
                <w:p w14:paraId="0EE2E133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FF0000"/>
                </w:tcPr>
                <w:p w14:paraId="30E6111C" w14:textId="77777777" w:rsidR="004C2A19" w:rsidRPr="004C2A19" w:rsidRDefault="004C2A19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44A54955" w14:textId="77777777" w:rsidTr="00BB460A">
              <w:tc>
                <w:tcPr>
                  <w:tcW w:w="917" w:type="dxa"/>
                </w:tcPr>
                <w:p w14:paraId="37F3AFBD" w14:textId="13FB2948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14:paraId="1AA9C5DF" w14:textId="6E3FC7B8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PROCESOS (JAG)</w:t>
                  </w:r>
                </w:p>
              </w:tc>
              <w:tc>
                <w:tcPr>
                  <w:tcW w:w="1417" w:type="dxa"/>
                </w:tcPr>
                <w:p w14:paraId="7E18B82D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55E9115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14:paraId="67F09A7C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C5E0B3" w:themeFill="accent6" w:themeFillTint="66"/>
                </w:tcPr>
                <w:p w14:paraId="1463684F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61DD0E4B" w14:textId="77777777" w:rsidTr="00BB460A">
              <w:tc>
                <w:tcPr>
                  <w:tcW w:w="917" w:type="dxa"/>
                </w:tcPr>
                <w:p w14:paraId="612C7E94" w14:textId="787A3A6B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1559" w:type="dxa"/>
                </w:tcPr>
                <w:p w14:paraId="0300EC8E" w14:textId="6C808F63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7" w:type="dxa"/>
                </w:tcPr>
                <w:p w14:paraId="557FAF91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E7F3F6C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BF8F00" w:themeFill="accent4" w:themeFillShade="BF"/>
                </w:tcPr>
                <w:p w14:paraId="12B0D260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BF8F00" w:themeFill="accent4" w:themeFillShade="BF"/>
                </w:tcPr>
                <w:p w14:paraId="248372EF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66A5AB0F" w14:textId="77777777" w:rsidTr="00BB460A">
              <w:tc>
                <w:tcPr>
                  <w:tcW w:w="917" w:type="dxa"/>
                </w:tcPr>
                <w:p w14:paraId="31C5E686" w14:textId="7CA041BA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1559" w:type="dxa"/>
                </w:tcPr>
                <w:p w14:paraId="10297747" w14:textId="037A916F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1D1950B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004F8DF5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538135" w:themeFill="accent6" w:themeFillShade="BF"/>
                </w:tcPr>
                <w:p w14:paraId="0705A402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538135" w:themeFill="accent6" w:themeFillShade="BF"/>
                </w:tcPr>
                <w:p w14:paraId="7E719673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21329CD6" w14:textId="77777777" w:rsidTr="00F858D8">
              <w:tc>
                <w:tcPr>
                  <w:tcW w:w="917" w:type="dxa"/>
                </w:tcPr>
                <w:p w14:paraId="637127AD" w14:textId="2DB77591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559" w:type="dxa"/>
                </w:tcPr>
                <w:p w14:paraId="070C05B2" w14:textId="0378B6C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SAF RRHH</w:t>
                  </w:r>
                </w:p>
              </w:tc>
              <w:tc>
                <w:tcPr>
                  <w:tcW w:w="1417" w:type="dxa"/>
                </w:tcPr>
                <w:p w14:paraId="73433C14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7564B0DE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7030A0"/>
                </w:tcPr>
                <w:p w14:paraId="32E21A2D" w14:textId="77777777" w:rsidR="00BB460A" w:rsidRP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D9E2F3" w:themeColor="accent1" w:themeTint="33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7030A0"/>
                </w:tcPr>
                <w:p w14:paraId="27130EFC" w14:textId="77777777" w:rsidR="00BB460A" w:rsidRP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D9E2F3" w:themeColor="accent1" w:themeTint="33"/>
                      <w:sz w:val="16"/>
                      <w:szCs w:val="16"/>
                    </w:rPr>
                  </w:pPr>
                </w:p>
              </w:tc>
            </w:tr>
            <w:tr w:rsidR="00BB460A" w14:paraId="1BB85782" w14:textId="77777777" w:rsidTr="00F858D8">
              <w:tc>
                <w:tcPr>
                  <w:tcW w:w="917" w:type="dxa"/>
                </w:tcPr>
                <w:p w14:paraId="521AC3E8" w14:textId="0A01D6D2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559" w:type="dxa"/>
                </w:tcPr>
                <w:p w14:paraId="67DA8BD2" w14:textId="6EC97648" w:rsidR="00BB460A" w:rsidRPr="004C2A19" w:rsidRDefault="001B56BC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7" w:type="dxa"/>
                </w:tcPr>
                <w:p w14:paraId="4632F0BF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2B4ABA16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CD1AAA4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AEAAAA" w:themeFill="background2" w:themeFillShade="BF"/>
                </w:tcPr>
                <w:p w14:paraId="428C4ED0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BB460A" w14:paraId="7AF326AD" w14:textId="77777777" w:rsidTr="00F858D8">
              <w:tc>
                <w:tcPr>
                  <w:tcW w:w="917" w:type="dxa"/>
                </w:tcPr>
                <w:p w14:paraId="370E5A96" w14:textId="5D1FA7B8" w:rsidR="00BB460A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14:paraId="3CB5FF23" w14:textId="2B9650BA" w:rsidR="00BB460A" w:rsidRPr="004C2A19" w:rsidRDefault="00F858D8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7" w:type="dxa"/>
                </w:tcPr>
                <w:p w14:paraId="2D09C8F8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6B6F911B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21EAFCC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shd w:val="clear" w:color="auto" w:fill="ED7D31" w:themeFill="accent2"/>
                </w:tcPr>
                <w:p w14:paraId="5E4AE9AB" w14:textId="77777777" w:rsidR="00BB460A" w:rsidRPr="004C2A19" w:rsidRDefault="00BB460A" w:rsidP="00723328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5763C833" w14:textId="6EF8BF27" w:rsidR="0082579F" w:rsidRPr="00617FE8" w:rsidRDefault="0082579F" w:rsidP="00723328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A471868" w14:textId="0509068E" w:rsidR="00DD0B9D" w:rsidRPr="00DD0B9D" w:rsidRDefault="00DD0B9D" w:rsidP="00882F5A"/>
    <w:sectPr w:rsidR="00DD0B9D" w:rsidRPr="00DD0B9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72FA" w14:textId="77777777" w:rsidR="009E07BC" w:rsidRDefault="009E07BC" w:rsidP="005552A4">
      <w:pPr>
        <w:spacing w:after="0" w:line="240" w:lineRule="auto"/>
      </w:pPr>
      <w:r>
        <w:separator/>
      </w:r>
    </w:p>
  </w:endnote>
  <w:endnote w:type="continuationSeparator" w:id="0">
    <w:p w14:paraId="70488559" w14:textId="77777777" w:rsidR="009E07BC" w:rsidRDefault="009E07BC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7EA6" w14:textId="77777777" w:rsidR="009E07BC" w:rsidRDefault="009E07BC" w:rsidP="005552A4">
      <w:pPr>
        <w:spacing w:after="0" w:line="240" w:lineRule="auto"/>
      </w:pPr>
      <w:r>
        <w:separator/>
      </w:r>
    </w:p>
  </w:footnote>
  <w:footnote w:type="continuationSeparator" w:id="0">
    <w:p w14:paraId="2F9F1527" w14:textId="77777777" w:rsidR="009E07BC" w:rsidRDefault="009E07BC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E3"/>
    <w:multiLevelType w:val="hybridMultilevel"/>
    <w:tmpl w:val="B26662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136"/>
    <w:multiLevelType w:val="hybridMultilevel"/>
    <w:tmpl w:val="97BEFE7A"/>
    <w:lvl w:ilvl="0" w:tplc="F0AA5EDC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741"/>
    <w:multiLevelType w:val="hybridMultilevel"/>
    <w:tmpl w:val="D7E4F5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C03"/>
    <w:multiLevelType w:val="hybridMultilevel"/>
    <w:tmpl w:val="625E37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763"/>
    <w:multiLevelType w:val="hybridMultilevel"/>
    <w:tmpl w:val="DA82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11C6"/>
    <w:multiLevelType w:val="hybridMultilevel"/>
    <w:tmpl w:val="181C28B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797E"/>
    <w:multiLevelType w:val="hybridMultilevel"/>
    <w:tmpl w:val="6C28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50F4"/>
    <w:multiLevelType w:val="hybridMultilevel"/>
    <w:tmpl w:val="FB1E53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25772">
    <w:abstractNumId w:val="7"/>
  </w:num>
  <w:num w:numId="2" w16cid:durableId="409356480">
    <w:abstractNumId w:val="6"/>
  </w:num>
  <w:num w:numId="3" w16cid:durableId="1972246524">
    <w:abstractNumId w:val="3"/>
  </w:num>
  <w:num w:numId="4" w16cid:durableId="246573117">
    <w:abstractNumId w:val="2"/>
  </w:num>
  <w:num w:numId="5" w16cid:durableId="1105075580">
    <w:abstractNumId w:val="5"/>
  </w:num>
  <w:num w:numId="6" w16cid:durableId="1372533769">
    <w:abstractNumId w:val="0"/>
  </w:num>
  <w:num w:numId="7" w16cid:durableId="1279069323">
    <w:abstractNumId w:val="1"/>
  </w:num>
  <w:num w:numId="8" w16cid:durableId="31729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50A12"/>
    <w:rsid w:val="00052CA3"/>
    <w:rsid w:val="00060A8D"/>
    <w:rsid w:val="00066D0D"/>
    <w:rsid w:val="00070998"/>
    <w:rsid w:val="00071B3D"/>
    <w:rsid w:val="00084C25"/>
    <w:rsid w:val="000956E4"/>
    <w:rsid w:val="000B42EE"/>
    <w:rsid w:val="000B4448"/>
    <w:rsid w:val="000B4DBA"/>
    <w:rsid w:val="000E2771"/>
    <w:rsid w:val="000F30B6"/>
    <w:rsid w:val="00112DC6"/>
    <w:rsid w:val="00113E40"/>
    <w:rsid w:val="001168DB"/>
    <w:rsid w:val="00136429"/>
    <w:rsid w:val="00150C35"/>
    <w:rsid w:val="00155659"/>
    <w:rsid w:val="00187FAE"/>
    <w:rsid w:val="001956DC"/>
    <w:rsid w:val="001A0E0A"/>
    <w:rsid w:val="001B56BC"/>
    <w:rsid w:val="001C3012"/>
    <w:rsid w:val="0027027B"/>
    <w:rsid w:val="00277A32"/>
    <w:rsid w:val="002C0359"/>
    <w:rsid w:val="0030056B"/>
    <w:rsid w:val="00305537"/>
    <w:rsid w:val="00306423"/>
    <w:rsid w:val="0033611D"/>
    <w:rsid w:val="00346ADD"/>
    <w:rsid w:val="0036588D"/>
    <w:rsid w:val="00370992"/>
    <w:rsid w:val="00386A7B"/>
    <w:rsid w:val="00394D21"/>
    <w:rsid w:val="003A5FB4"/>
    <w:rsid w:val="003B314F"/>
    <w:rsid w:val="003C7CF1"/>
    <w:rsid w:val="004114AB"/>
    <w:rsid w:val="00412CEA"/>
    <w:rsid w:val="00416583"/>
    <w:rsid w:val="00430523"/>
    <w:rsid w:val="00445CFF"/>
    <w:rsid w:val="004603D1"/>
    <w:rsid w:val="00462C71"/>
    <w:rsid w:val="004A2E5A"/>
    <w:rsid w:val="004C2A19"/>
    <w:rsid w:val="004E31DE"/>
    <w:rsid w:val="0051611F"/>
    <w:rsid w:val="00534DC5"/>
    <w:rsid w:val="00536F06"/>
    <w:rsid w:val="005552A4"/>
    <w:rsid w:val="00566458"/>
    <w:rsid w:val="00571CA8"/>
    <w:rsid w:val="005940F7"/>
    <w:rsid w:val="005B2FAE"/>
    <w:rsid w:val="005C4554"/>
    <w:rsid w:val="005F3452"/>
    <w:rsid w:val="0060664F"/>
    <w:rsid w:val="00612774"/>
    <w:rsid w:val="00617FE8"/>
    <w:rsid w:val="00624DFE"/>
    <w:rsid w:val="00632670"/>
    <w:rsid w:val="00655F68"/>
    <w:rsid w:val="00681142"/>
    <w:rsid w:val="006A182A"/>
    <w:rsid w:val="006A2D45"/>
    <w:rsid w:val="006D34E6"/>
    <w:rsid w:val="00704537"/>
    <w:rsid w:val="00717114"/>
    <w:rsid w:val="007178ED"/>
    <w:rsid w:val="007217B7"/>
    <w:rsid w:val="00723328"/>
    <w:rsid w:val="0074395E"/>
    <w:rsid w:val="00760D67"/>
    <w:rsid w:val="00762D8A"/>
    <w:rsid w:val="00767522"/>
    <w:rsid w:val="00791F6E"/>
    <w:rsid w:val="007A5A4E"/>
    <w:rsid w:val="007E509E"/>
    <w:rsid w:val="007E7BCF"/>
    <w:rsid w:val="007F7E38"/>
    <w:rsid w:val="00815649"/>
    <w:rsid w:val="0082579F"/>
    <w:rsid w:val="008426AA"/>
    <w:rsid w:val="00882F5A"/>
    <w:rsid w:val="008C026C"/>
    <w:rsid w:val="008C7B94"/>
    <w:rsid w:val="008E0E7F"/>
    <w:rsid w:val="008F0F8E"/>
    <w:rsid w:val="009077AB"/>
    <w:rsid w:val="00921BE4"/>
    <w:rsid w:val="00944A40"/>
    <w:rsid w:val="009648B7"/>
    <w:rsid w:val="00982DEA"/>
    <w:rsid w:val="009A7AA0"/>
    <w:rsid w:val="009B4461"/>
    <w:rsid w:val="009D5C85"/>
    <w:rsid w:val="009E07BC"/>
    <w:rsid w:val="009E6B7C"/>
    <w:rsid w:val="00A26E19"/>
    <w:rsid w:val="00A271C1"/>
    <w:rsid w:val="00A3570D"/>
    <w:rsid w:val="00A83BD2"/>
    <w:rsid w:val="00AA34D7"/>
    <w:rsid w:val="00AA6B2D"/>
    <w:rsid w:val="00AC3624"/>
    <w:rsid w:val="00AD7206"/>
    <w:rsid w:val="00AF3654"/>
    <w:rsid w:val="00B25D75"/>
    <w:rsid w:val="00B4233E"/>
    <w:rsid w:val="00B60B6E"/>
    <w:rsid w:val="00B74405"/>
    <w:rsid w:val="00B916CF"/>
    <w:rsid w:val="00BA6179"/>
    <w:rsid w:val="00BB460A"/>
    <w:rsid w:val="00BC0719"/>
    <w:rsid w:val="00BE7499"/>
    <w:rsid w:val="00BF0874"/>
    <w:rsid w:val="00C20121"/>
    <w:rsid w:val="00C27B1C"/>
    <w:rsid w:val="00C3042B"/>
    <w:rsid w:val="00C542C8"/>
    <w:rsid w:val="00C95BA3"/>
    <w:rsid w:val="00CD6F57"/>
    <w:rsid w:val="00D20DD4"/>
    <w:rsid w:val="00D22E8D"/>
    <w:rsid w:val="00D3778F"/>
    <w:rsid w:val="00D443F1"/>
    <w:rsid w:val="00D71A4F"/>
    <w:rsid w:val="00D86A7B"/>
    <w:rsid w:val="00DA6E32"/>
    <w:rsid w:val="00DB740B"/>
    <w:rsid w:val="00DD073A"/>
    <w:rsid w:val="00DD0B9D"/>
    <w:rsid w:val="00DD4CC0"/>
    <w:rsid w:val="00DE56C1"/>
    <w:rsid w:val="00E10034"/>
    <w:rsid w:val="00E3454B"/>
    <w:rsid w:val="00E4334C"/>
    <w:rsid w:val="00E74966"/>
    <w:rsid w:val="00EB11F4"/>
    <w:rsid w:val="00ED5DCF"/>
    <w:rsid w:val="00ED6EE7"/>
    <w:rsid w:val="00EE476C"/>
    <w:rsid w:val="00F104F0"/>
    <w:rsid w:val="00F14FF3"/>
    <w:rsid w:val="00F15D16"/>
    <w:rsid w:val="00F5683B"/>
    <w:rsid w:val="00F573C2"/>
    <w:rsid w:val="00F757FC"/>
    <w:rsid w:val="00F824DB"/>
    <w:rsid w:val="00F858D8"/>
    <w:rsid w:val="00F872C2"/>
    <w:rsid w:val="00FC3340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5161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D5AA864348D4396A9B78D7E5B7E20" ma:contentTypeVersion="11" ma:contentTypeDescription="Crear nuevo documento." ma:contentTypeScope="" ma:versionID="ad711f33e88f406eced4f454d8610408">
  <xsd:schema xmlns:xsd="http://www.w3.org/2001/XMLSchema" xmlns:xs="http://www.w3.org/2001/XMLSchema" xmlns:p="http://schemas.microsoft.com/office/2006/metadata/properties" xmlns:ns2="90028ff6-e8db-4698-a163-b000ce1e46ea" xmlns:ns3="7dd560b6-eac6-496f-96ec-9f37f7751a8d" targetNamespace="http://schemas.microsoft.com/office/2006/metadata/properties" ma:root="true" ma:fieldsID="84ceb2a283bf4739d9407bba49bd89c7" ns2:_="" ns3:_="">
    <xsd:import namespace="90028ff6-e8db-4698-a163-b000ce1e46ea"/>
    <xsd:import namespace="7dd560b6-eac6-496f-96ec-9f37f7751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8ff6-e8db-4698-a163-b000ce1e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60b6-eac6-496f-96ec-9f37f775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719F-62F9-44D2-837A-81578AE1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8ff6-e8db-4698-a163-b000ce1e46ea"/>
    <ds:schemaRef ds:uri="7dd560b6-eac6-496f-96ec-9f37f7751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6EA0-B9A2-4598-A1AC-E21659C94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F7FE3-7727-4FDC-A567-AD16BA406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3ACE1-5732-4E18-BF5F-924AE4E7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2023-03-14T16:07:00Z</dcterms:created>
  <dcterms:modified xsi:type="dcterms:W3CDTF">2023-03-14T16:07:00Z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0x01010075DD5AA864348D4396A9B78D7E5B7E20</vt:lpwstr>
  </property>
</Properties>
</file>