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2161E" w14:textId="77777777" w:rsidR="00B4233E" w:rsidRDefault="0082579F" w:rsidP="005B2FAE">
      <w:pPr>
        <w:spacing w:line="360" w:lineRule="auto"/>
        <w:jc w:val="both"/>
        <w:rPr>
          <w:rFonts w:asciiTheme="majorHAnsi" w:hAnsiTheme="majorHAnsi" w:cstheme="majorHAnsi"/>
          <w:bCs/>
        </w:rPr>
      </w:pPr>
      <w:r>
        <w:rPr>
          <w:noProof/>
          <w:lang w:eastAsia="es-ES"/>
        </w:rPr>
        <w:drawing>
          <wp:inline distT="0" distB="0" distL="0" distR="0" wp14:anchorId="448A2E68" wp14:editId="042317C3">
            <wp:extent cx="5400040" cy="1416685"/>
            <wp:effectExtent l="0" t="0" r="0" b="0"/>
            <wp:docPr id="1" name="Imagen 1" descr="Interfaz de usuario gráfic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&#10;&#10;Descripción generada automáticamente con confianza baja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1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752B1" w14:textId="77777777" w:rsidR="00CD34C4" w:rsidRDefault="00CD34C4" w:rsidP="00CD34C4">
      <w:pPr>
        <w:pStyle w:val="Textocomentario"/>
        <w:jc w:val="both"/>
        <w:rPr>
          <w:sz w:val="22"/>
          <w:szCs w:val="22"/>
        </w:rPr>
      </w:pPr>
      <w:r w:rsidRPr="00617FE8">
        <w:rPr>
          <w:rFonts w:asciiTheme="majorHAnsi" w:hAnsiTheme="majorHAnsi" w:cstheme="majorHAnsi"/>
          <w:b/>
          <w:bCs/>
          <w:color w:val="404040" w:themeColor="text1" w:themeTint="BF"/>
          <w:sz w:val="28"/>
          <w:szCs w:val="28"/>
        </w:rPr>
        <w:t>Proceso de implantación de las recomendaciones seleccionadas</w:t>
      </w:r>
      <w:r w:rsidRPr="00AA13EC">
        <w:rPr>
          <w:sz w:val="22"/>
          <w:szCs w:val="22"/>
        </w:rPr>
        <w:t xml:space="preserve"> </w:t>
      </w:r>
    </w:p>
    <w:p w14:paraId="7D8C2950" w14:textId="77777777" w:rsidR="00CD34C4" w:rsidRPr="00AA13EC" w:rsidRDefault="00CD34C4" w:rsidP="00CD34C4">
      <w:pPr>
        <w:pStyle w:val="Textocomentario"/>
        <w:jc w:val="both"/>
        <w:rPr>
          <w:sz w:val="22"/>
          <w:szCs w:val="22"/>
        </w:rPr>
      </w:pPr>
      <w:r w:rsidRPr="00AA13EC">
        <w:rPr>
          <w:sz w:val="22"/>
          <w:szCs w:val="22"/>
        </w:rPr>
        <w:t>En el contexto actual es necesario poner en marcha proyectos que consigan aumentar el compromiso y motivación de los profesionales. La Dirección de Gestión y Cuidados de Enfermería</w:t>
      </w:r>
      <w:r>
        <w:rPr>
          <w:sz w:val="22"/>
          <w:szCs w:val="22"/>
        </w:rPr>
        <w:t xml:space="preserve"> (DGCyE)</w:t>
      </w:r>
      <w:r w:rsidRPr="00AA13EC">
        <w:rPr>
          <w:sz w:val="22"/>
          <w:szCs w:val="22"/>
        </w:rPr>
        <w:t xml:space="preserve"> considera que el fomento de la investigación y el desarrollo y difusión de Buenas Prácticas en </w:t>
      </w:r>
      <w:r>
        <w:rPr>
          <w:sz w:val="22"/>
          <w:szCs w:val="22"/>
        </w:rPr>
        <w:t>C</w:t>
      </w:r>
      <w:r w:rsidRPr="00AA13EC">
        <w:rPr>
          <w:sz w:val="22"/>
          <w:szCs w:val="22"/>
        </w:rPr>
        <w:t xml:space="preserve">uidados son clave para </w:t>
      </w:r>
      <w:r>
        <w:rPr>
          <w:sz w:val="22"/>
          <w:szCs w:val="22"/>
        </w:rPr>
        <w:t>ello</w:t>
      </w:r>
      <w:r w:rsidRPr="00AA13EC">
        <w:rPr>
          <w:sz w:val="22"/>
          <w:szCs w:val="22"/>
        </w:rPr>
        <w:t>. NursingResearchChallange</w:t>
      </w:r>
      <w:r>
        <w:rPr>
          <w:sz w:val="22"/>
          <w:szCs w:val="22"/>
        </w:rPr>
        <w:t xml:space="preserve">(NRC) </w:t>
      </w:r>
      <w:r w:rsidRPr="00AA13EC">
        <w:rPr>
          <w:sz w:val="22"/>
          <w:szCs w:val="22"/>
        </w:rPr>
        <w:t>es la oportunidad de logra</w:t>
      </w:r>
      <w:r>
        <w:rPr>
          <w:sz w:val="22"/>
          <w:szCs w:val="22"/>
        </w:rPr>
        <w:t>rlo</w:t>
      </w:r>
      <w:r w:rsidRPr="00AA13EC">
        <w:rPr>
          <w:sz w:val="22"/>
          <w:szCs w:val="22"/>
        </w:rPr>
        <w:t>.</w:t>
      </w:r>
    </w:p>
    <w:p w14:paraId="0519DA2D" w14:textId="77777777" w:rsidR="00CD34C4" w:rsidRPr="00AA13EC" w:rsidRDefault="00CD34C4" w:rsidP="00CD34C4">
      <w:pPr>
        <w:pStyle w:val="Prrafodelista"/>
        <w:numPr>
          <w:ilvl w:val="0"/>
          <w:numId w:val="8"/>
        </w:numPr>
        <w:spacing w:after="0"/>
        <w:jc w:val="both"/>
      </w:pPr>
      <w:r w:rsidRPr="00AA13EC">
        <w:rPr>
          <w:b/>
        </w:rPr>
        <w:t xml:space="preserve">Identificación de necesidades. </w:t>
      </w:r>
    </w:p>
    <w:p w14:paraId="4BD3AA6B" w14:textId="77777777" w:rsidR="00CD34C4" w:rsidRPr="00AA13EC" w:rsidRDefault="00CD34C4" w:rsidP="00CD34C4">
      <w:pPr>
        <w:jc w:val="both"/>
      </w:pPr>
      <w:r w:rsidRPr="00AA13EC">
        <w:t xml:space="preserve">Se mantuvieron conversaciones con informantes clave (IC), se revisaron recursos, infraestructuras, procedimientos y cuadro de mando de indicadores, necesidades formativas (resultados de encuestas, entrevistas con IC). Análisis </w:t>
      </w:r>
      <w:r w:rsidRPr="00CD34C4">
        <w:rPr>
          <w:u w:val="single"/>
        </w:rPr>
        <w:t>DAFO</w:t>
      </w:r>
      <w:r w:rsidRPr="00AA13EC">
        <w:t xml:space="preserve"> </w:t>
      </w:r>
      <w:r>
        <w:t xml:space="preserve">y de brechas </w:t>
      </w:r>
      <w:r w:rsidRPr="00AA13EC">
        <w:t>respecto a las recomendaciones NRC:</w:t>
      </w:r>
    </w:p>
    <w:p w14:paraId="123D9BF2" w14:textId="77777777" w:rsidR="00CD34C4" w:rsidRPr="00AA13EC" w:rsidRDefault="00CD34C4" w:rsidP="00CD34C4">
      <w:pPr>
        <w:jc w:val="both"/>
      </w:pPr>
      <w:r w:rsidRPr="00AA13EC">
        <w:rPr>
          <w:b/>
        </w:rPr>
        <w:t>Debilidades</w:t>
      </w:r>
      <w:r>
        <w:t>:</w:t>
      </w:r>
      <w:r w:rsidRPr="00AA13EC">
        <w:t xml:space="preserve"> falta de método y planificación, necesidad de formación (principalmente</w:t>
      </w:r>
      <w:r>
        <w:t xml:space="preserve"> en </w:t>
      </w:r>
      <w:r w:rsidRPr="00AA13EC">
        <w:t>aspectos éticos y legales de la investigación), no hay mapa de enfermeras con formación avanzada, escasa visibilidad de proyectos en marcha,</w:t>
      </w:r>
      <w:r>
        <w:t xml:space="preserve"> </w:t>
      </w:r>
      <w:r w:rsidRPr="00AA13EC">
        <w:t>enfermera</w:t>
      </w:r>
      <w:r>
        <w:t>s</w:t>
      </w:r>
      <w:r w:rsidRPr="00AA13EC">
        <w:t xml:space="preserve"> como instrumento de recogida de datos</w:t>
      </w:r>
      <w:r>
        <w:t xml:space="preserve"> en </w:t>
      </w:r>
      <w:r w:rsidRPr="00AA13EC">
        <w:t>proyectos de otras disciplinas, falta de reconocimiento competencial para investigación</w:t>
      </w:r>
      <w:r>
        <w:t xml:space="preserve">, </w:t>
      </w:r>
      <w:r w:rsidRPr="00AA13EC">
        <w:t xml:space="preserve">de medición de resultados de implantación y de posicionamiento de la </w:t>
      </w:r>
      <w:r>
        <w:t>I</w:t>
      </w:r>
      <w:r w:rsidRPr="00AA13EC">
        <w:t xml:space="preserve">nvestigación en </w:t>
      </w:r>
      <w:r>
        <w:t>C</w:t>
      </w:r>
      <w:r w:rsidRPr="00AA13EC">
        <w:t xml:space="preserve">uidados </w:t>
      </w:r>
      <w:r>
        <w:t xml:space="preserve">(IC) </w:t>
      </w:r>
      <w:r w:rsidRPr="00AA13EC">
        <w:t>dentro de la organización</w:t>
      </w:r>
      <w:r>
        <w:t>.</w:t>
      </w:r>
    </w:p>
    <w:p w14:paraId="60945AEB" w14:textId="77777777" w:rsidR="00CD34C4" w:rsidRPr="00AA13EC" w:rsidRDefault="00CD34C4" w:rsidP="00CD34C4">
      <w:pPr>
        <w:jc w:val="both"/>
      </w:pPr>
      <w:r w:rsidRPr="00AA13EC">
        <w:rPr>
          <w:b/>
        </w:rPr>
        <w:t>Fortalezas</w:t>
      </w:r>
      <w:r w:rsidRPr="00AA13EC">
        <w:t xml:space="preserve">: apuesta de </w:t>
      </w:r>
      <w:r>
        <w:t>la DGCyE</w:t>
      </w:r>
      <w:r w:rsidRPr="00AA13EC">
        <w:t xml:space="preserve"> por la Investigación, las Buenas Prácticas (centro designado como BPSO)  y el desarrollo profesional, pioneros en pilotaje de implantación de proyectos, cambio cultural progresivo hacia la necesidad de cuidar con evidencia, buen clima laboral, profesionales formados con inquietud y motivación, algunos en Grupos del Instituto de Investigación Sanitaria (ISPA), profesores asociados de la Universidad, centros acreditados para la docencia, Unidad de Calidad y Comisiones clínicas, recursos (tecnológicos, biblioteca virtual, bibliotecarias de apoyo, técnico de salud, plataforma de bioestadística ISPA, herramientas corporativas para trabajo en red), Premios </w:t>
      </w:r>
      <w:r>
        <w:t xml:space="preserve">anuales </w:t>
      </w:r>
      <w:r w:rsidRPr="00AA13EC">
        <w:t>de Investigación</w:t>
      </w:r>
      <w:r>
        <w:t xml:space="preserve"> e </w:t>
      </w:r>
      <w:r w:rsidRPr="00AA13EC">
        <w:t>Innovación y de Calidad,  cuadro de mando de indicadores asistencial y de Cuidados (en desarrollo),  Supervisión de Formación, Docencia e Investigación en Cuidados (SFDIC).</w:t>
      </w:r>
    </w:p>
    <w:p w14:paraId="3670D891" w14:textId="77777777" w:rsidR="00CD34C4" w:rsidRPr="00AA13EC" w:rsidRDefault="00CD34C4" w:rsidP="00CD34C4">
      <w:pPr>
        <w:jc w:val="both"/>
      </w:pPr>
      <w:r w:rsidRPr="00AA13EC">
        <w:rPr>
          <w:b/>
        </w:rPr>
        <w:t>Amenazas</w:t>
      </w:r>
      <w:r w:rsidRPr="00AA13EC">
        <w:t>: limitación presupuestaria</w:t>
      </w:r>
      <w:r>
        <w:t xml:space="preserve"> (partida </w:t>
      </w:r>
      <w:r w:rsidRPr="00AA13EC">
        <w:t>dirigida a facilitar asistencia a congresos</w:t>
      </w:r>
      <w:r>
        <w:t>)</w:t>
      </w:r>
      <w:r w:rsidRPr="00AA13EC">
        <w:t xml:space="preserve"> y de profesionales</w:t>
      </w:r>
      <w:r>
        <w:t xml:space="preserve"> </w:t>
      </w:r>
      <w:r w:rsidRPr="00AA13EC">
        <w:t xml:space="preserve"> que dificulta incentivos, movilidad interna y voluntaria permanente, procesos de Estabilización y OPE en marcha, escaso posicionamiento de la I</w:t>
      </w:r>
      <w:r>
        <w:t>C</w:t>
      </w:r>
      <w:r w:rsidRPr="00AA13EC">
        <w:t xml:space="preserve"> en </w:t>
      </w:r>
      <w:r>
        <w:t>la Comunidad</w:t>
      </w:r>
      <w:r w:rsidRPr="00AA13EC">
        <w:t xml:space="preserve">, infraestructuras </w:t>
      </w:r>
      <w:r>
        <w:t>mejorable</w:t>
      </w:r>
      <w:r w:rsidRPr="00AA13EC">
        <w:t>s, elecciones próximas.</w:t>
      </w:r>
    </w:p>
    <w:p w14:paraId="2230FB6F" w14:textId="77777777" w:rsidR="00CD34C4" w:rsidRPr="00AA13EC" w:rsidRDefault="00CD34C4" w:rsidP="00CD34C4">
      <w:pPr>
        <w:jc w:val="both"/>
      </w:pPr>
      <w:r w:rsidRPr="00AA13EC">
        <w:rPr>
          <w:b/>
        </w:rPr>
        <w:t>Oportunidades</w:t>
      </w:r>
      <w:r w:rsidRPr="00AA13EC">
        <w:t xml:space="preserve">: </w:t>
      </w:r>
      <w:r>
        <w:t>una</w:t>
      </w:r>
      <w:r w:rsidRPr="00AA13EC">
        <w:t xml:space="preserve"> Dirección General de Cuidados en Consejería de Salud y  </w:t>
      </w:r>
      <w:r>
        <w:t xml:space="preserve">una </w:t>
      </w:r>
      <w:r w:rsidRPr="00AA13EC">
        <w:t>Subdirección de Coordinación asistencial y de Cuidados en SESPA, aumento de plantilla, alianzas (Facultad y Colegio de Enfermería, Laboratorio de Cuidados (</w:t>
      </w:r>
      <w:r w:rsidRPr="00AA13EC">
        <w:rPr>
          <w:i/>
          <w:iCs/>
        </w:rPr>
        <w:t>CuidaLab</w:t>
      </w:r>
      <w:r w:rsidRPr="00AA13EC">
        <w:t xml:space="preserve">) y </w:t>
      </w:r>
      <w:r w:rsidRPr="00AA13EC">
        <w:rPr>
          <w:i/>
          <w:iCs/>
        </w:rPr>
        <w:t>Gijón Impulsa</w:t>
      </w:r>
      <w:r w:rsidRPr="00AA13EC">
        <w:t xml:space="preserve">, ISPA (Área de Cuidados, profesionales como Investigadores Principales / miembros de sus Grupos </w:t>
      </w:r>
      <w:r w:rsidRPr="00AA13EC">
        <w:lastRenderedPageBreak/>
        <w:t>acreditados)), ampliación y reforma del Hospital Universitario de Cabueñes</w:t>
      </w:r>
      <w:r>
        <w:t xml:space="preserve"> en marcha</w:t>
      </w:r>
      <w:r w:rsidRPr="00AA13EC">
        <w:t>, colaboraciones con Asociaciones de Pacientes, centros educativos</w:t>
      </w:r>
      <w:r>
        <w:t xml:space="preserve">, sociosanitarios y </w:t>
      </w:r>
      <w:r w:rsidRPr="00AA13EC">
        <w:t>Ayuntamientos.</w:t>
      </w:r>
    </w:p>
    <w:p w14:paraId="4C2A931C" w14:textId="77777777" w:rsidR="00CD34C4" w:rsidRPr="00AA13EC" w:rsidRDefault="00CD34C4" w:rsidP="00CD34C4">
      <w:pPr>
        <w:pStyle w:val="Prrafodelista"/>
        <w:numPr>
          <w:ilvl w:val="0"/>
          <w:numId w:val="8"/>
        </w:numPr>
        <w:spacing w:after="0"/>
        <w:jc w:val="both"/>
      </w:pPr>
      <w:r w:rsidRPr="00AA13EC">
        <w:rPr>
          <w:b/>
        </w:rPr>
        <w:t>Situación basal</w:t>
      </w:r>
      <w:r w:rsidRPr="00AA13EC">
        <w:t>.</w:t>
      </w:r>
    </w:p>
    <w:p w14:paraId="185A8572" w14:textId="77777777" w:rsidR="00CD34C4" w:rsidRPr="00AA13EC" w:rsidRDefault="00CD34C4" w:rsidP="00CD34C4">
      <w:pPr>
        <w:jc w:val="both"/>
      </w:pPr>
      <w:r w:rsidRPr="00AA13EC">
        <w:t xml:space="preserve">Identificadas (no mapeadas) enfermeras Doctoras, Máster, Especialistas y EPA. No existe Base de Datos (BD) de interesados (noveles/expertos), líneas, proyectos o tesis que fomente sinergias y proyectos multicéntricos (ya realidad a nivel asistencial, docente y gestor). En convocatorias para mandos intermedios se </w:t>
      </w:r>
      <w:r>
        <w:t>consideran</w:t>
      </w:r>
      <w:r w:rsidRPr="00AA13EC">
        <w:t xml:space="preserve"> méritos de investigación. Las EPA no lideran proyectos</w:t>
      </w:r>
      <w:r>
        <w:t>.</w:t>
      </w:r>
      <w:r w:rsidRPr="00AA13EC">
        <w:t xml:space="preserve"> No nos compete aumentar plazas vinculadas a la Universidad, pero la </w:t>
      </w:r>
      <w:r>
        <w:t>DGCyE</w:t>
      </w:r>
      <w:r w:rsidRPr="00AA13EC">
        <w:t>, sensibilizada con su importancia, las facilita. Los EIR realizan TFR (resultados) en temáticas no siempre alineadas con nuestro</w:t>
      </w:r>
      <w:r>
        <w:t>s</w:t>
      </w:r>
      <w:r w:rsidRPr="00AA13EC">
        <w:t xml:space="preserve"> inter</w:t>
      </w:r>
      <w:r>
        <w:t>ese</w:t>
      </w:r>
      <w:r w:rsidRPr="00AA13EC">
        <w:t xml:space="preserve">s. No hay enfermeras consultoras/referentes formales, excepto la SFDIC. </w:t>
      </w:r>
      <w:r>
        <w:t>Se necesita</w:t>
      </w:r>
      <w:r w:rsidRPr="00AA13EC">
        <w:t xml:space="preserve"> formación y un repositorio de recursos. En diseño un club de lectura crítica (matronas y fisioterapeutas). No hay liberaciones para investigación</w:t>
      </w:r>
      <w:r>
        <w:t xml:space="preserve"> o </w:t>
      </w:r>
      <w:r w:rsidRPr="00AA13EC">
        <w:t>formación avanzada. Existen proyectos de traslación de evi</w:t>
      </w:r>
      <w:r>
        <w:t>dencia (</w:t>
      </w:r>
      <w:r w:rsidRPr="00AA13EC">
        <w:t>nuevos protocolos y procedimientos</w:t>
      </w:r>
      <w:r>
        <w:t>)</w:t>
      </w:r>
      <w:r w:rsidRPr="00AA13EC">
        <w:t xml:space="preserve">, pero no para medir su impacto. No </w:t>
      </w:r>
      <w:r>
        <w:t>hay</w:t>
      </w:r>
      <w:r w:rsidRPr="00AA13EC">
        <w:t xml:space="preserve"> procedim</w:t>
      </w:r>
      <w:r>
        <w:t>i</w:t>
      </w:r>
      <w:r w:rsidRPr="00AA13EC">
        <w:t>ent</w:t>
      </w:r>
      <w:r>
        <w:t>o de</w:t>
      </w:r>
      <w:r w:rsidRPr="00AA13EC">
        <w:t xml:space="preserve"> detección de necesidad de evaluación de la práctica. Algunos proyectos incluyen perspectiva del paciente, pero no seleccionan</w:t>
      </w:r>
      <w:r>
        <w:t>do</w:t>
      </w:r>
      <w:r w:rsidRPr="00AA13EC">
        <w:t xml:space="preserve"> líneas de interés. </w:t>
      </w:r>
      <w:r>
        <w:t>F</w:t>
      </w:r>
      <w:r w:rsidRPr="00AA13EC">
        <w:t>eedback y difusión de resultados limitado. Plan de Comunicación en desarrollo. Convocatorias e iniciativas de interés yadifund</w:t>
      </w:r>
      <w:r>
        <w:t>idas</w:t>
      </w:r>
      <w:r w:rsidRPr="00AA13EC">
        <w:t xml:space="preserve"> en Intranet y TIC corporativas. Explotar sus funcionalidades facilitaría sinergias.</w:t>
      </w:r>
    </w:p>
    <w:p w14:paraId="63BE2BF2" w14:textId="77777777" w:rsidR="00CD34C4" w:rsidRPr="0096529D" w:rsidRDefault="00CD34C4" w:rsidP="00CD34C4">
      <w:pPr>
        <w:pStyle w:val="Prrafodelista"/>
        <w:numPr>
          <w:ilvl w:val="0"/>
          <w:numId w:val="8"/>
        </w:numPr>
        <w:spacing w:after="0"/>
        <w:jc w:val="both"/>
        <w:rPr>
          <w:b/>
        </w:rPr>
      </w:pPr>
      <w:r w:rsidRPr="0096529D">
        <w:rPr>
          <w:b/>
        </w:rPr>
        <w:t xml:space="preserve">Listado priorizado. </w:t>
      </w:r>
    </w:p>
    <w:p w14:paraId="11A8D256" w14:textId="77777777" w:rsidR="00CD34C4" w:rsidRPr="00AA13EC" w:rsidRDefault="00CD34C4" w:rsidP="00CD34C4">
      <w:pPr>
        <w:spacing w:after="0"/>
        <w:jc w:val="both"/>
      </w:pPr>
      <w:r w:rsidRPr="00AA13EC">
        <w:t xml:space="preserve">A partir de la situación basal y una matriz de decisiones, se seleccionan y priorizan las recomendaciones (R.) que permitan </w:t>
      </w:r>
      <w:r>
        <w:t>crear</w:t>
      </w:r>
      <w:r w:rsidRPr="00AA13EC">
        <w:t xml:space="preserve"> una estructura que siente firmemente las bases de NRC para su desarrollo y sostenibilidad a largo plazo:</w:t>
      </w:r>
    </w:p>
    <w:p w14:paraId="1499E48B" w14:textId="77777777" w:rsidR="00CD34C4" w:rsidRPr="00AA13EC" w:rsidRDefault="00CD34C4" w:rsidP="00CD34C4">
      <w:pPr>
        <w:spacing w:after="0"/>
        <w:ind w:firstLine="360"/>
        <w:jc w:val="both"/>
      </w:pPr>
      <w:r w:rsidRPr="00575F47">
        <w:rPr>
          <w:b/>
          <w:bCs/>
        </w:rPr>
        <w:t>Eje (E.) 1:</w:t>
      </w:r>
      <w:r w:rsidRPr="00AA13EC">
        <w:t xml:space="preserve"> R. 1, 2, 3, 5, 6</w:t>
      </w:r>
    </w:p>
    <w:p w14:paraId="6EE15DEB" w14:textId="77777777" w:rsidR="00CD34C4" w:rsidRPr="00AA13EC" w:rsidRDefault="00CD34C4" w:rsidP="00CD34C4">
      <w:pPr>
        <w:spacing w:after="0"/>
        <w:ind w:firstLine="360"/>
        <w:jc w:val="both"/>
      </w:pPr>
      <w:r w:rsidRPr="00575F47">
        <w:rPr>
          <w:b/>
          <w:bCs/>
        </w:rPr>
        <w:t>Eje 2:</w:t>
      </w:r>
      <w:r w:rsidRPr="00AA13EC">
        <w:t xml:space="preserve"> R. 3, 2, 5, 1</w:t>
      </w:r>
    </w:p>
    <w:p w14:paraId="56DCEDC4" w14:textId="77777777" w:rsidR="00CD34C4" w:rsidRPr="00AA13EC" w:rsidRDefault="00CD34C4" w:rsidP="00CD34C4">
      <w:pPr>
        <w:spacing w:after="0"/>
        <w:ind w:firstLine="360"/>
        <w:jc w:val="both"/>
      </w:pPr>
      <w:r w:rsidRPr="00575F47">
        <w:rPr>
          <w:b/>
          <w:bCs/>
        </w:rPr>
        <w:t>Eje 3:</w:t>
      </w:r>
      <w:r w:rsidRPr="00AA13EC">
        <w:t xml:space="preserve"> R. 1, 2, 5</w:t>
      </w:r>
    </w:p>
    <w:p w14:paraId="749A5988" w14:textId="77777777" w:rsidR="00CD34C4" w:rsidRPr="00AA13EC" w:rsidRDefault="00CD34C4" w:rsidP="00CD34C4">
      <w:pPr>
        <w:spacing w:after="0"/>
        <w:ind w:firstLine="360"/>
        <w:jc w:val="both"/>
      </w:pPr>
      <w:r w:rsidRPr="00575F47">
        <w:rPr>
          <w:b/>
          <w:bCs/>
        </w:rPr>
        <w:t>Eje 4:</w:t>
      </w:r>
      <w:r w:rsidRPr="00AA13EC">
        <w:t xml:space="preserve"> R. 1, 4</w:t>
      </w:r>
    </w:p>
    <w:p w14:paraId="6069B4BC" w14:textId="77777777" w:rsidR="00CD34C4" w:rsidRPr="00AA13EC" w:rsidRDefault="00CD34C4" w:rsidP="00CD34C4">
      <w:pPr>
        <w:spacing w:after="0"/>
        <w:ind w:firstLine="360"/>
        <w:jc w:val="both"/>
      </w:pPr>
      <w:r w:rsidRPr="00575F47">
        <w:rPr>
          <w:b/>
          <w:bCs/>
        </w:rPr>
        <w:t>Eje 5:</w:t>
      </w:r>
      <w:r w:rsidRPr="00AA13EC">
        <w:t xml:space="preserve"> R. 4, 1, 6</w:t>
      </w:r>
    </w:p>
    <w:p w14:paraId="524773BA" w14:textId="77777777" w:rsidR="00CD34C4" w:rsidRDefault="00CD34C4" w:rsidP="00CD34C4">
      <w:pPr>
        <w:ind w:firstLine="360"/>
        <w:jc w:val="both"/>
      </w:pPr>
      <w:r w:rsidRPr="00575F47">
        <w:rPr>
          <w:b/>
          <w:bCs/>
        </w:rPr>
        <w:t>Eje 6:</w:t>
      </w:r>
      <w:r w:rsidRPr="00AA13EC">
        <w:t xml:space="preserve"> R. 2, 5, 1</w:t>
      </w:r>
    </w:p>
    <w:p w14:paraId="1A2F81D6" w14:textId="77777777" w:rsidR="00CD34C4" w:rsidRPr="00AA13EC" w:rsidRDefault="00CD34C4" w:rsidP="00CD34C4">
      <w:pPr>
        <w:pStyle w:val="Prrafodelista"/>
        <w:numPr>
          <w:ilvl w:val="0"/>
          <w:numId w:val="8"/>
        </w:numPr>
        <w:spacing w:before="240" w:after="0"/>
        <w:jc w:val="both"/>
        <w:rPr>
          <w:b/>
        </w:rPr>
      </w:pPr>
      <w:r w:rsidRPr="00AA13EC">
        <w:rPr>
          <w:b/>
        </w:rPr>
        <w:t>Implantación, evaluación y recursos.</w:t>
      </w:r>
    </w:p>
    <w:p w14:paraId="2B94AB5C" w14:textId="77777777" w:rsidR="00CD34C4" w:rsidRPr="00AA13EC" w:rsidRDefault="00CD34C4" w:rsidP="00CD34C4">
      <w:pPr>
        <w:jc w:val="both"/>
      </w:pPr>
      <w:r w:rsidRPr="00AA13EC">
        <w:t xml:space="preserve">Además de las </w:t>
      </w:r>
      <w:r>
        <w:t xml:space="preserve">realizadas y de las </w:t>
      </w:r>
      <w:r w:rsidRPr="00AA13EC">
        <w:t>específicas para la implantación se realizarán otras estratégicas y transversales, como presentación oficial y difusión de NRC a los profesionales del Área, incentivación de participación y compromiso de permanencia, esenciales para su adhesión a largo plazo.</w:t>
      </w:r>
    </w:p>
    <w:p w14:paraId="017EC03E" w14:textId="77777777" w:rsidR="00CD34C4" w:rsidRPr="00AA13EC" w:rsidRDefault="00CD34C4" w:rsidP="00CD34C4">
      <w:pPr>
        <w:pStyle w:val="Prrafodelista"/>
        <w:numPr>
          <w:ilvl w:val="1"/>
          <w:numId w:val="8"/>
        </w:numPr>
        <w:spacing w:after="0"/>
        <w:jc w:val="both"/>
        <w:rPr>
          <w:b/>
        </w:rPr>
      </w:pPr>
      <w:r w:rsidRPr="00AA13EC">
        <w:rPr>
          <w:b/>
        </w:rPr>
        <w:t>Implantación</w:t>
      </w:r>
    </w:p>
    <w:p w14:paraId="76A1B980" w14:textId="77777777" w:rsidR="00CD34C4" w:rsidRPr="00AA13EC" w:rsidRDefault="00CD34C4" w:rsidP="00CD34C4">
      <w:pPr>
        <w:pStyle w:val="Prrafodelista"/>
        <w:numPr>
          <w:ilvl w:val="0"/>
          <w:numId w:val="9"/>
        </w:numPr>
        <w:jc w:val="both"/>
      </w:pPr>
      <w:r w:rsidRPr="00AA13EC">
        <w:t xml:space="preserve">Diseñar la </w:t>
      </w:r>
      <w:r>
        <w:t xml:space="preserve">BD </w:t>
      </w:r>
      <w:r w:rsidRPr="00B17795">
        <w:rPr>
          <w:i/>
          <w:iCs/>
        </w:rPr>
        <w:t>Investigación en Cuidados del Área V</w:t>
      </w:r>
      <w:r w:rsidRPr="00AA13EC">
        <w:t xml:space="preserve"> (</w:t>
      </w:r>
      <w:r w:rsidRPr="00B17795">
        <w:rPr>
          <w:i/>
          <w:iCs/>
        </w:rPr>
        <w:t>ICA5</w:t>
      </w:r>
      <w:r w:rsidRPr="00AA13EC">
        <w:t xml:space="preserve">): a partir de mapeo basal, con datos de profesionales con/sin formación avanzada e interés en investigación, vinculación con Universidad, formación EPA, producción científica, proyectos/tesis en desarrollo, líneas de interés y necesidades formativas. </w:t>
      </w:r>
      <w:r>
        <w:t>Actualización periódica.</w:t>
      </w:r>
    </w:p>
    <w:p w14:paraId="35565F6F" w14:textId="77777777" w:rsidR="00CD34C4" w:rsidRPr="00AA13EC" w:rsidRDefault="00CD34C4" w:rsidP="00CD34C4">
      <w:pPr>
        <w:pStyle w:val="Prrafodelista"/>
        <w:numPr>
          <w:ilvl w:val="0"/>
          <w:numId w:val="9"/>
        </w:numPr>
        <w:jc w:val="both"/>
      </w:pPr>
      <w:r w:rsidRPr="00AA13EC">
        <w:t xml:space="preserve">Identificar </w:t>
      </w:r>
      <w:r>
        <w:t>posibles</w:t>
      </w:r>
      <w:r w:rsidRPr="00AA13EC">
        <w:t xml:space="preserve"> Consulto</w:t>
      </w:r>
      <w:r>
        <w:t>ry</w:t>
      </w:r>
      <w:r w:rsidRPr="00AA13EC">
        <w:t xml:space="preserve"> Referente de cada área de cuidados </w:t>
      </w:r>
      <w:r>
        <w:t>para</w:t>
      </w:r>
      <w:r w:rsidRPr="00AA13EC">
        <w:t xml:space="preserve"> conformar la estructura </w:t>
      </w:r>
      <w:r>
        <w:t>NRC.</w:t>
      </w:r>
    </w:p>
    <w:p w14:paraId="4D97F4F9" w14:textId="77777777" w:rsidR="00CD34C4" w:rsidRPr="00AA13EC" w:rsidRDefault="00CD34C4" w:rsidP="00CD34C4">
      <w:pPr>
        <w:spacing w:line="256" w:lineRule="auto"/>
      </w:pPr>
      <w:r w:rsidRPr="00AA13EC">
        <w:t>Crea</w:t>
      </w:r>
      <w:r>
        <w:t>r</w:t>
      </w:r>
      <w:r w:rsidRPr="00AA13EC">
        <w:t xml:space="preserve"> de un grupo de investigación para cada área (según interés)</w:t>
      </w:r>
      <w:r>
        <w:t xml:space="preserve">: </w:t>
      </w:r>
      <w:r w:rsidRPr="00AA13EC">
        <w:t>distintas disciplinas de Cuidados, formación y experiencia diversa</w:t>
      </w:r>
      <w:r>
        <w:t xml:space="preserve"> y </w:t>
      </w:r>
      <w:r w:rsidRPr="00AA13EC">
        <w:t xml:space="preserve">enfermeras tractoras en cada uno. Habrá </w:t>
      </w:r>
      <w:r w:rsidRPr="00AA13EC">
        <w:lastRenderedPageBreak/>
        <w:t>compromiso de permanencia (4 años), resultados, producción científica y difusión (p</w:t>
      </w:r>
      <w:r>
        <w:t>lanificada</w:t>
      </w:r>
      <w:r w:rsidRPr="00AA13EC">
        <w:t>).</w:t>
      </w:r>
    </w:p>
    <w:p w14:paraId="599DD184" w14:textId="77777777" w:rsidR="00CD34C4" w:rsidRPr="00AA13EC" w:rsidRDefault="00CD34C4" w:rsidP="00CD34C4">
      <w:pPr>
        <w:pStyle w:val="Prrafodelista"/>
        <w:numPr>
          <w:ilvl w:val="0"/>
          <w:numId w:val="9"/>
        </w:numPr>
        <w:jc w:val="both"/>
      </w:pPr>
      <w:r w:rsidRPr="00AA13EC">
        <w:t>Fomentar sinergias y proyectos multicéntricos</w:t>
      </w:r>
      <w:r>
        <w:t xml:space="preserve">, </w:t>
      </w:r>
      <w:r w:rsidRPr="00AA13EC">
        <w:t>haciendo accesible la BD de investigadores, líneas y proyectos en Intranet, en un espacio específico para NRC. En él existirá un repositorio de recursos y se difundirán convocatorias, iniciativas y solicitud de adhesión (complemento a otras vías) y actividad. Todo ello formará parte de Plan de Comunicación NRC, que incluirá circuitos en la estructura.</w:t>
      </w:r>
    </w:p>
    <w:p w14:paraId="167BA5B9" w14:textId="77777777" w:rsidR="00CD34C4" w:rsidRPr="00AA13EC" w:rsidRDefault="00CD34C4" w:rsidP="00CD34C4">
      <w:pPr>
        <w:pStyle w:val="Prrafodelista"/>
        <w:numPr>
          <w:ilvl w:val="0"/>
          <w:numId w:val="9"/>
        </w:numPr>
        <w:jc w:val="both"/>
      </w:pPr>
      <w:r w:rsidRPr="00AA13EC">
        <w:t>Definir, junto a</w:t>
      </w:r>
      <w:r>
        <w:t>l</w:t>
      </w:r>
      <w:r w:rsidRPr="00AA13EC">
        <w:t xml:space="preserve"> análisis del cuadro de mando e identificación de necesidades desde la Dirección, mandos intermedios, asociaciones de pacientes y demás entidades con las que </w:t>
      </w:r>
      <w:r>
        <w:t>tenemos</w:t>
      </w:r>
      <w:r w:rsidRPr="00AA13EC">
        <w:t xml:space="preserve"> alianzas, las líneas de interés del Área. Serán difundidas formalmente a la Facultad y a las Unidades Docentes (UUDD) para alinear las temáticas de los TFG, TFR, TFM y tesis doctorales (feedback anual). Se identificará alumnado interesado.</w:t>
      </w:r>
    </w:p>
    <w:p w14:paraId="20916BD9" w14:textId="77777777" w:rsidR="00CD34C4" w:rsidRPr="00AA13EC" w:rsidRDefault="00CD34C4" w:rsidP="00CD34C4">
      <w:pPr>
        <w:pStyle w:val="Prrafodelista"/>
        <w:numPr>
          <w:ilvl w:val="0"/>
          <w:numId w:val="9"/>
        </w:numPr>
        <w:jc w:val="both"/>
      </w:pPr>
      <w:r w:rsidRPr="00AA13EC">
        <w:t xml:space="preserve">Diseñar un itinerario formativo incentivado, </w:t>
      </w:r>
      <w:r>
        <w:t>según</w:t>
      </w:r>
      <w:r w:rsidRPr="00AA13EC">
        <w:t xml:space="preserve"> necesidades, vinculado al diseño de un protocolo de estudio por cada grupo.</w:t>
      </w:r>
    </w:p>
    <w:p w14:paraId="05E31BCF" w14:textId="77777777" w:rsidR="00CD34C4" w:rsidRPr="00AA13EC" w:rsidRDefault="00CD34C4" w:rsidP="00CD34C4">
      <w:pPr>
        <w:pStyle w:val="Prrafodelista"/>
        <w:numPr>
          <w:ilvl w:val="0"/>
          <w:numId w:val="9"/>
        </w:numPr>
        <w:jc w:val="both"/>
      </w:pPr>
      <w:r>
        <w:t xml:space="preserve">Diseño </w:t>
      </w:r>
      <w:r w:rsidRPr="00AA13EC">
        <w:t>de Plan de Evaluación</w:t>
      </w:r>
      <w:r>
        <w:t>.</w:t>
      </w:r>
    </w:p>
    <w:p w14:paraId="74AE7B9C" w14:textId="77777777" w:rsidR="00CD34C4" w:rsidRPr="00AA13EC" w:rsidRDefault="00CD34C4" w:rsidP="00CD34C4">
      <w:pPr>
        <w:spacing w:after="0"/>
        <w:jc w:val="both"/>
      </w:pPr>
      <w:r w:rsidRPr="00AA13EC">
        <w:t xml:space="preserve">Se fomentará la adhesión de profesionales </w:t>
      </w:r>
      <w:r>
        <w:t>de</w:t>
      </w:r>
      <w:r w:rsidRPr="00AA13EC">
        <w:t>l Programa BPSO®. Los proyectos de implantación deberán acompañarse de medición de impacto. Se calendarizarán foros de intercambio NRC (ideas, problemáticas comunes, sinergias). Se propondrán a Osakidetza (nacionales). Habrá incentivación horaria por dedicación a NRC (inclu</w:t>
      </w:r>
      <w:r>
        <w:t>ida</w:t>
      </w:r>
      <w:r w:rsidRPr="00AA13EC">
        <w:t xml:space="preserve"> elaboración de protocolos de traslación), condicionada a cumplimiento de compromisos. La asistencia a congresos también tendrá incentivo económico (bajo disponibilidad de fondos). Los grupos trabajarán autónomamente, bajo tutela y comunicación permanente con </w:t>
      </w:r>
      <w:r>
        <w:t xml:space="preserve">la </w:t>
      </w:r>
      <w:r w:rsidRPr="00AA13EC">
        <w:t>Coordinadora NRC.</w:t>
      </w:r>
    </w:p>
    <w:p w14:paraId="64C8FE57" w14:textId="77777777" w:rsidR="00CD34C4" w:rsidRPr="00AA13EC" w:rsidRDefault="00CD34C4" w:rsidP="00CD34C4">
      <w:pPr>
        <w:spacing w:after="0"/>
        <w:jc w:val="both"/>
      </w:pPr>
      <w:r w:rsidRPr="00AA13EC">
        <w:t>El proyecto NRC será contemplado como un proyecto de implantación / investigación. Seasegurará</w:t>
      </w:r>
      <w:r>
        <w:t xml:space="preserve">n permisos correspondientes </w:t>
      </w:r>
      <w:r w:rsidRPr="00AA13EC">
        <w:t>previ</w:t>
      </w:r>
      <w:r>
        <w:t>o</w:t>
      </w:r>
      <w:r w:rsidRPr="00AA13EC">
        <w:t xml:space="preserve"> a su puesta en marcha.</w:t>
      </w:r>
    </w:p>
    <w:p w14:paraId="0DD23463" w14:textId="77777777" w:rsidR="00CD34C4" w:rsidRPr="00AA13EC" w:rsidRDefault="00CD34C4" w:rsidP="00CD34C4">
      <w:pPr>
        <w:pStyle w:val="Prrafodelista"/>
        <w:jc w:val="both"/>
      </w:pPr>
    </w:p>
    <w:p w14:paraId="54307934" w14:textId="77777777" w:rsidR="00CD34C4" w:rsidRPr="00AA13EC" w:rsidRDefault="00CD34C4" w:rsidP="00CD34C4">
      <w:pPr>
        <w:pStyle w:val="Prrafodelista"/>
        <w:numPr>
          <w:ilvl w:val="1"/>
          <w:numId w:val="8"/>
        </w:numPr>
        <w:spacing w:after="0"/>
        <w:jc w:val="both"/>
      </w:pPr>
      <w:r w:rsidRPr="00AA13EC">
        <w:rPr>
          <w:b/>
        </w:rPr>
        <w:t>Evaluación</w:t>
      </w:r>
      <w:r w:rsidRPr="00AA13EC">
        <w:t>.</w:t>
      </w:r>
    </w:p>
    <w:p w14:paraId="62A6A56B" w14:textId="77777777" w:rsidR="00CD34C4" w:rsidRPr="00AA13EC" w:rsidRDefault="00CD34C4" w:rsidP="00CD34C4">
      <w:pPr>
        <w:ind w:left="360"/>
        <w:jc w:val="both"/>
      </w:pPr>
      <w:r w:rsidRPr="00AA13EC">
        <w:t>Planificada. Basal y seguimiento con indicadores NRC. Se podrán incluir otros de interés</w:t>
      </w:r>
      <w:r>
        <w:t xml:space="preserve"> (D</w:t>
      </w:r>
      <w:r w:rsidRPr="00AA13EC">
        <w:t>GCyE</w:t>
      </w:r>
      <w:r>
        <w:t>)</w:t>
      </w:r>
      <w:r w:rsidRPr="00AA13EC">
        <w:t xml:space="preserve"> y menor periodicidad. DAFO – CAME y análisis de barreras / facilitadores.</w:t>
      </w:r>
    </w:p>
    <w:p w14:paraId="2E24D86F" w14:textId="77777777" w:rsidR="00CD34C4" w:rsidRPr="00AA13EC" w:rsidRDefault="00CD34C4" w:rsidP="00CD34C4">
      <w:pPr>
        <w:pStyle w:val="Prrafodelista"/>
        <w:numPr>
          <w:ilvl w:val="1"/>
          <w:numId w:val="8"/>
        </w:numPr>
        <w:spacing w:after="0"/>
        <w:jc w:val="both"/>
        <w:rPr>
          <w:b/>
        </w:rPr>
      </w:pPr>
      <w:r w:rsidRPr="00AA13EC">
        <w:rPr>
          <w:b/>
        </w:rPr>
        <w:t>Recursos</w:t>
      </w:r>
      <w:r>
        <w:rPr>
          <w:b/>
        </w:rPr>
        <w:t>.</w:t>
      </w:r>
    </w:p>
    <w:p w14:paraId="568FD6A4" w14:textId="77777777" w:rsidR="00CD34C4" w:rsidRPr="00AA13EC" w:rsidRDefault="00CD34C4" w:rsidP="00CD34C4">
      <w:pPr>
        <w:ind w:left="360"/>
        <w:jc w:val="both"/>
      </w:pPr>
      <w:r w:rsidRPr="00AA13EC">
        <w:t>Incentivos NRC, SFDIC, Comisión de Investigación</w:t>
      </w:r>
      <w:r>
        <w:t>/</w:t>
      </w:r>
      <w:r w:rsidRPr="00AA13EC">
        <w:t>Innovación, Unidad de Calidad, biblioteca física y virtual (SESPA), técnico de salud y bibliotecarias, alianzas (Ver punto 1-</w:t>
      </w:r>
      <w:r>
        <w:t>O</w:t>
      </w:r>
      <w:r w:rsidRPr="00AA13EC">
        <w:t>portunidades), espacios, infraestructura corporativa para trabajo en red.</w:t>
      </w:r>
    </w:p>
    <w:p w14:paraId="672A33E2" w14:textId="77777777" w:rsidR="00CD34C4" w:rsidRPr="00AA13EC" w:rsidRDefault="00CD34C4" w:rsidP="00CD34C4">
      <w:pPr>
        <w:pStyle w:val="Prrafodelista"/>
        <w:numPr>
          <w:ilvl w:val="0"/>
          <w:numId w:val="8"/>
        </w:numPr>
        <w:spacing w:before="240" w:after="0"/>
        <w:jc w:val="both"/>
        <w:rPr>
          <w:b/>
        </w:rPr>
      </w:pPr>
      <w:r w:rsidRPr="00AA13EC">
        <w:rPr>
          <w:b/>
        </w:rPr>
        <w:t>Responsable, equipo, estructura</w:t>
      </w:r>
      <w:r>
        <w:rPr>
          <w:b/>
        </w:rPr>
        <w:t>.</w:t>
      </w:r>
    </w:p>
    <w:p w14:paraId="59154AEE" w14:textId="77777777" w:rsidR="00CD34C4" w:rsidRDefault="00CD34C4" w:rsidP="00CD34C4">
      <w:pPr>
        <w:jc w:val="both"/>
      </w:pPr>
      <w:r w:rsidRPr="00AA13EC">
        <w:t xml:space="preserve">NRC dependerá de DGCyE. La estructura es provisional y sujeta al análisis de </w:t>
      </w:r>
      <w:r w:rsidRPr="001C0E24">
        <w:rPr>
          <w:i/>
          <w:iCs/>
        </w:rPr>
        <w:t>ICA5</w:t>
      </w:r>
      <w:r w:rsidRPr="00AA13EC">
        <w:t>. Se prevé un Coordinador, y un referente y un consultor para cada Área/Grupo.</w:t>
      </w:r>
    </w:p>
    <w:p w14:paraId="20E86088" w14:textId="77777777" w:rsidR="00CD34C4" w:rsidRPr="0096529D" w:rsidRDefault="00CD34C4" w:rsidP="00CD34C4">
      <w:pPr>
        <w:pStyle w:val="Prrafodelista"/>
        <w:numPr>
          <w:ilvl w:val="1"/>
          <w:numId w:val="8"/>
        </w:numPr>
        <w:jc w:val="both"/>
        <w:rPr>
          <w:b/>
        </w:rPr>
      </w:pPr>
      <w:r w:rsidRPr="0096529D">
        <w:rPr>
          <w:b/>
        </w:rPr>
        <w:t>Perfiles y principales funciones</w:t>
      </w:r>
    </w:p>
    <w:p w14:paraId="0DCC139B" w14:textId="77777777" w:rsidR="00CD34C4" w:rsidRDefault="00CD34C4" w:rsidP="00CD34C4">
      <w:pPr>
        <w:spacing w:line="256" w:lineRule="auto"/>
      </w:pPr>
      <w:r w:rsidRPr="0096529D">
        <w:rPr>
          <w:b/>
          <w:bCs/>
        </w:rPr>
        <w:t>Coordinador:</w:t>
      </w:r>
      <w:r w:rsidRPr="00AA13EC">
        <w:t xml:space="preserve"> formación avanzada (FA), capacidad de liderazgo (CL), experiencia en </w:t>
      </w:r>
      <w:r>
        <w:t xml:space="preserve">gestión de </w:t>
      </w:r>
      <w:r w:rsidRPr="00AA13EC">
        <w:t xml:space="preserve">proyectos de investigación (EPI) y de equipos (EE), disponibilidad (D), compromiso (C). </w:t>
      </w:r>
      <w:r>
        <w:t xml:space="preserve">Gestión estratégica NRC junto a la DGCyE. </w:t>
      </w:r>
      <w:r w:rsidRPr="00AA13EC">
        <w:t>Coordinación</w:t>
      </w:r>
      <w:r>
        <w:t>/S</w:t>
      </w:r>
      <w:r w:rsidRPr="00AA13EC">
        <w:t>upervisión de</w:t>
      </w:r>
      <w:r w:rsidRPr="00CD34C4">
        <w:t xml:space="preserve"> </w:t>
      </w:r>
      <w:r w:rsidRPr="00AA13EC">
        <w:t>actividad/necesidades de grupos</w:t>
      </w:r>
      <w:r>
        <w:t>, solicitudes de adhesión. EnlaceconDGCyE.</w:t>
      </w:r>
    </w:p>
    <w:p w14:paraId="6918DEBF" w14:textId="77777777" w:rsidR="00CD34C4" w:rsidRDefault="00CD34C4" w:rsidP="00CD34C4">
      <w:pPr>
        <w:pStyle w:val="Prrafodelista"/>
        <w:numPr>
          <w:ilvl w:val="0"/>
          <w:numId w:val="10"/>
        </w:numPr>
        <w:jc w:val="both"/>
      </w:pPr>
      <w:r w:rsidRPr="0096529D">
        <w:rPr>
          <w:b/>
          <w:bCs/>
        </w:rPr>
        <w:t>Referente:</w:t>
      </w:r>
      <w:r w:rsidRPr="00AA13EC">
        <w:t xml:space="preserve"> FA, CL, EE, D, C.Investigador</w:t>
      </w:r>
      <w:r>
        <w:t>/a</w:t>
      </w:r>
      <w:r w:rsidRPr="00AA13EC">
        <w:t xml:space="preserve"> Principal</w:t>
      </w:r>
      <w:r>
        <w:t xml:space="preserve"> (IP) </w:t>
      </w:r>
      <w:r w:rsidRPr="00AA13EC">
        <w:t>de grupo</w:t>
      </w:r>
      <w:r>
        <w:t xml:space="preserve">. Edición de espacio en Intranet (podrá delegar en otro miembro). Feedback permanente con Coordinador y </w:t>
      </w:r>
      <w:r>
        <w:lastRenderedPageBreak/>
        <w:t>grupo; periódico con DGCyE. Podrá colaborar en gestión estratégica a propuesta de DGCyE (Planes de Evaluación, Comunicación u otros)</w:t>
      </w:r>
    </w:p>
    <w:p w14:paraId="7A26437D" w14:textId="77777777" w:rsidR="00CD34C4" w:rsidRDefault="00CD34C4" w:rsidP="00CD34C4">
      <w:pPr>
        <w:pStyle w:val="Prrafodelista"/>
        <w:numPr>
          <w:ilvl w:val="0"/>
          <w:numId w:val="10"/>
        </w:numPr>
        <w:jc w:val="both"/>
      </w:pPr>
      <w:r w:rsidRPr="0096529D">
        <w:rPr>
          <w:b/>
          <w:bCs/>
        </w:rPr>
        <w:t>Consultor:</w:t>
      </w:r>
      <w:r w:rsidRPr="00AA13EC">
        <w:t xml:space="preserve"> FA, EE, D, C. Soporte metodológico</w:t>
      </w:r>
      <w:r>
        <w:t xml:space="preserve"> a su grupo.</w:t>
      </w:r>
    </w:p>
    <w:p w14:paraId="28F80726" w14:textId="77777777" w:rsidR="00CD34C4" w:rsidRPr="00575F47" w:rsidRDefault="00CD34C4" w:rsidP="00CD34C4">
      <w:pPr>
        <w:pStyle w:val="Prrafodelista"/>
        <w:numPr>
          <w:ilvl w:val="0"/>
          <w:numId w:val="10"/>
        </w:numPr>
        <w:jc w:val="both"/>
        <w:rPr>
          <w:b/>
        </w:rPr>
      </w:pPr>
      <w:r w:rsidRPr="0096529D">
        <w:rPr>
          <w:b/>
          <w:bCs/>
        </w:rPr>
        <w:t>Miembro:</w:t>
      </w:r>
      <w:r>
        <w:t xml:space="preserve"> profesional interesado con compromiso NRC. Feedback continuado con IP; periódico con Coordinador y DGCyE. En función de sus competencias, podrá participar en acciones estratégicas/transversales concretas a propuesta de DGCyE, Coordinador y/o Referente. </w:t>
      </w:r>
    </w:p>
    <w:p w14:paraId="4E3716A5" w14:textId="77777777" w:rsidR="00CD34C4" w:rsidRDefault="00CD34C4" w:rsidP="00CD34C4">
      <w:pPr>
        <w:pStyle w:val="Prrafodelista"/>
        <w:numPr>
          <w:ilvl w:val="0"/>
          <w:numId w:val="8"/>
        </w:numPr>
        <w:tabs>
          <w:tab w:val="left" w:pos="1916"/>
        </w:tabs>
        <w:spacing w:before="240" w:after="0"/>
        <w:jc w:val="both"/>
        <w:rPr>
          <w:b/>
        </w:rPr>
      </w:pPr>
      <w:r w:rsidRPr="009C0917">
        <w:rPr>
          <w:b/>
        </w:rPr>
        <w:t>Cronograma</w:t>
      </w:r>
    </w:p>
    <w:p w14:paraId="326C899D" w14:textId="77777777" w:rsidR="00CD34C4" w:rsidRDefault="00CD34C4" w:rsidP="00CD34C4">
      <w:pPr>
        <w:tabs>
          <w:tab w:val="left" w:pos="1916"/>
        </w:tabs>
        <w:spacing w:after="0"/>
        <w:jc w:val="both"/>
      </w:pPr>
      <w:r w:rsidRPr="00AA13EC">
        <w:t>Se presentan las principales</w:t>
      </w:r>
      <w:r>
        <w:t xml:space="preserve"> acciones</w:t>
      </w:r>
      <w:r w:rsidRPr="00AA13EC">
        <w:t xml:space="preserve"> al margen de las continuas </w:t>
      </w:r>
      <w:r>
        <w:t>/</w:t>
      </w:r>
      <w:r w:rsidRPr="00AA13EC">
        <w:t xml:space="preserve"> estratégicas para mantener adhesión de profesionales, aumentar su capacitación, detección y captación de talentos y asegurar la sostenibilidad NRC a largo plazo</w:t>
      </w:r>
      <w:r>
        <w:t xml:space="preserve">. </w:t>
      </w:r>
      <w:r w:rsidRPr="00AA13EC">
        <w:t>Soporte continuado a las necesidades de los grupos para facilitar su consolidación, desarrollo y crecimiento.</w:t>
      </w:r>
    </w:p>
    <w:p w14:paraId="08E8256E" w14:textId="77777777" w:rsidR="00CD34C4" w:rsidRDefault="00CD34C4">
      <w:r w:rsidRPr="00AA13EC">
        <w:t>Reuniones de seguimiento: SFDI–Referentes, mensuales; SFDI–grupos, trimestrales; SFDI–Referentes-DGCyE, semestrales; DGCyE</w:t>
      </w:r>
      <w:r>
        <w:t>-</w:t>
      </w:r>
      <w:r w:rsidRPr="00AA13EC">
        <w:t>SFDI–grupos, anuales</w:t>
      </w:r>
      <w:r>
        <w:t>. (</w:t>
      </w:r>
      <w:r w:rsidRPr="00AA13EC">
        <w:t>Estrategia / acción continua: *</w:t>
      </w:r>
      <w:r>
        <w:t>)</w:t>
      </w:r>
      <w:r w:rsidRPr="00CD34C4">
        <w:rPr>
          <w:noProof/>
        </w:rPr>
        <w:lastRenderedPageBreak/>
        <w:drawing>
          <wp:inline distT="0" distB="0" distL="0" distR="0" wp14:anchorId="51534E5C" wp14:editId="03F1F3F2">
            <wp:extent cx="5400040" cy="7121704"/>
            <wp:effectExtent l="19050" t="0" r="0" b="0"/>
            <wp:docPr id="5" name="Imagen 4">
              <a:extLst xmlns:a="http://schemas.openxmlformats.org/drawingml/2006/main">
                <a:ext uri="{FF2B5EF4-FFF2-40B4-BE49-F238E27FC236}">
                  <a16:creationId xmlns:a16="http://schemas.microsoft.com/office/drawing/2014/main" id="{897F34E5-2A5E-D993-E6D8-DA646A1D14A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>
                      <a:extLst>
                        <a:ext uri="{FF2B5EF4-FFF2-40B4-BE49-F238E27FC236}">
                          <a16:creationId xmlns:a16="http://schemas.microsoft.com/office/drawing/2014/main" id="{897F34E5-2A5E-D993-E6D8-DA646A1D14A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121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4CF094D3" w14:textId="77777777" w:rsidR="00DD0B9D" w:rsidRPr="00DD0B9D" w:rsidRDefault="00CD34C4" w:rsidP="00CD34C4">
      <w:r w:rsidRPr="00CD34C4">
        <w:rPr>
          <w:noProof/>
        </w:rPr>
        <w:lastRenderedPageBreak/>
        <w:drawing>
          <wp:inline distT="0" distB="0" distL="0" distR="0" wp14:anchorId="74283A31" wp14:editId="464D5B3E">
            <wp:extent cx="5400040" cy="7121704"/>
            <wp:effectExtent l="19050" t="0" r="0" b="0"/>
            <wp:docPr id="3" name="Imagen 4">
              <a:extLst xmlns:a="http://schemas.openxmlformats.org/drawingml/2006/main">
                <a:ext uri="{FF2B5EF4-FFF2-40B4-BE49-F238E27FC236}">
                  <a16:creationId xmlns:a16="http://schemas.microsoft.com/office/drawing/2014/main" id="{897F34E5-2A5E-D993-E6D8-DA646A1D14A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>
                      <a:extLst>
                        <a:ext uri="{FF2B5EF4-FFF2-40B4-BE49-F238E27FC236}">
                          <a16:creationId xmlns:a16="http://schemas.microsoft.com/office/drawing/2014/main" id="{897F34E5-2A5E-D993-E6D8-DA646A1D14A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121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0B9D" w:rsidRPr="00DD0B9D" w:rsidSect="00C0552E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D79D5" w14:textId="77777777" w:rsidR="004F6B46" w:rsidRDefault="004F6B46" w:rsidP="005552A4">
      <w:pPr>
        <w:spacing w:after="0" w:line="240" w:lineRule="auto"/>
      </w:pPr>
      <w:r>
        <w:separator/>
      </w:r>
    </w:p>
  </w:endnote>
  <w:endnote w:type="continuationSeparator" w:id="0">
    <w:p w14:paraId="67EF1A0C" w14:textId="77777777" w:rsidR="004F6B46" w:rsidRDefault="004F6B46" w:rsidP="00555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AFDD1" w14:textId="77777777" w:rsidR="00112DC6" w:rsidRDefault="00617FE8" w:rsidP="00B4233E">
    <w:pPr>
      <w:pStyle w:val="Piedepgina"/>
      <w:jc w:val="center"/>
    </w:pPr>
    <w:r>
      <w:rPr>
        <w:noProof/>
        <w:lang w:eastAsia="es-ES"/>
      </w:rPr>
      <w:drawing>
        <wp:inline distT="0" distB="0" distL="0" distR="0" wp14:anchorId="58D5C07F" wp14:editId="1B46AD84">
          <wp:extent cx="1047750" cy="497681"/>
          <wp:effectExtent l="0" t="0" r="0" b="0"/>
          <wp:docPr id="2" name="Imagen 2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Interfaz de usuario gráfic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092" cy="511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F04CC" w14:textId="77777777" w:rsidR="004F6B46" w:rsidRDefault="004F6B46" w:rsidP="005552A4">
      <w:pPr>
        <w:spacing w:after="0" w:line="240" w:lineRule="auto"/>
      </w:pPr>
      <w:r>
        <w:separator/>
      </w:r>
    </w:p>
  </w:footnote>
  <w:footnote w:type="continuationSeparator" w:id="0">
    <w:p w14:paraId="27633AD0" w14:textId="77777777" w:rsidR="004F6B46" w:rsidRDefault="004F6B46" w:rsidP="00555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5F57A" w14:textId="77777777" w:rsidR="005552A4" w:rsidRDefault="00B4233E" w:rsidP="005552A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3360" behindDoc="1" locked="0" layoutInCell="1" allowOverlap="1" wp14:anchorId="4E77B9DE" wp14:editId="62224C4B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1364" cy="1323975"/>
          <wp:effectExtent l="0" t="0" r="0" b="0"/>
          <wp:wrapNone/>
          <wp:docPr id="7" name="Imagen 7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64" cy="1323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036FD9F" w14:textId="77777777" w:rsidR="005552A4" w:rsidRDefault="005552A4" w:rsidP="005552A4">
    <w:pPr>
      <w:pStyle w:val="Encabezado"/>
      <w:tabs>
        <w:tab w:val="left" w:pos="7560"/>
      </w:tabs>
    </w:pPr>
    <w:r>
      <w:tab/>
    </w:r>
    <w:r>
      <w:tab/>
    </w:r>
  </w:p>
  <w:p w14:paraId="18AC8E5D" w14:textId="77777777" w:rsidR="005552A4" w:rsidRDefault="005552A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0431"/>
    <w:multiLevelType w:val="hybridMultilevel"/>
    <w:tmpl w:val="D4AC5C36"/>
    <w:lvl w:ilvl="0" w:tplc="C4349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F5BDD"/>
    <w:multiLevelType w:val="hybridMultilevel"/>
    <w:tmpl w:val="05C4AE7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A524F"/>
    <w:multiLevelType w:val="hybridMultilevel"/>
    <w:tmpl w:val="4EC8DB2E"/>
    <w:lvl w:ilvl="0" w:tplc="F5E04A3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444184"/>
    <w:multiLevelType w:val="hybridMultilevel"/>
    <w:tmpl w:val="2BACBBD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F2C33"/>
    <w:multiLevelType w:val="multilevel"/>
    <w:tmpl w:val="089EF8E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8EB487E"/>
    <w:multiLevelType w:val="hybridMultilevel"/>
    <w:tmpl w:val="C804D7C0"/>
    <w:lvl w:ilvl="0" w:tplc="0C0A000D">
      <w:start w:val="1"/>
      <w:numFmt w:val="bullet"/>
      <w:lvlText w:val=""/>
      <w:lvlJc w:val="left"/>
      <w:pPr>
        <w:ind w:left="1419" w:hanging="360"/>
      </w:pPr>
      <w:rPr>
        <w:rFonts w:ascii="Wingdings" w:hAnsi="Wingdings" w:hint="default"/>
      </w:rPr>
    </w:lvl>
    <w:lvl w:ilvl="1" w:tplc="C4349A64">
      <w:start w:val="1"/>
      <w:numFmt w:val="bullet"/>
      <w:lvlText w:val=""/>
      <w:lvlJc w:val="left"/>
      <w:pPr>
        <w:ind w:left="2139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6" w15:restartNumberingAfterBreak="0">
    <w:nsid w:val="580E5B3C"/>
    <w:multiLevelType w:val="hybridMultilevel"/>
    <w:tmpl w:val="AF7A7A38"/>
    <w:lvl w:ilvl="0" w:tplc="03427BF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1715A4"/>
    <w:multiLevelType w:val="hybridMultilevel"/>
    <w:tmpl w:val="B1A206F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1E2DC4"/>
    <w:multiLevelType w:val="hybridMultilevel"/>
    <w:tmpl w:val="B86A2C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72268B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22"/>
        <w:szCs w:val="22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2B6741"/>
    <w:multiLevelType w:val="hybridMultilevel"/>
    <w:tmpl w:val="E93054C0"/>
    <w:lvl w:ilvl="0" w:tplc="C4349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6156734">
    <w:abstractNumId w:val="8"/>
  </w:num>
  <w:num w:numId="2" w16cid:durableId="301622519">
    <w:abstractNumId w:val="2"/>
  </w:num>
  <w:num w:numId="3" w16cid:durableId="352344863">
    <w:abstractNumId w:val="6"/>
  </w:num>
  <w:num w:numId="4" w16cid:durableId="526798564">
    <w:abstractNumId w:val="5"/>
  </w:num>
  <w:num w:numId="5" w16cid:durableId="1217088481">
    <w:abstractNumId w:val="9"/>
  </w:num>
  <w:num w:numId="6" w16cid:durableId="1530416995">
    <w:abstractNumId w:val="0"/>
  </w:num>
  <w:num w:numId="7" w16cid:durableId="1387991717">
    <w:abstractNumId w:val="3"/>
  </w:num>
  <w:num w:numId="8" w16cid:durableId="377318130">
    <w:abstractNumId w:val="4"/>
  </w:num>
  <w:num w:numId="9" w16cid:durableId="692921315">
    <w:abstractNumId w:val="1"/>
  </w:num>
  <w:num w:numId="10" w16cid:durableId="644252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2A4"/>
    <w:rsid w:val="00006408"/>
    <w:rsid w:val="0001676E"/>
    <w:rsid w:val="000203D6"/>
    <w:rsid w:val="00023155"/>
    <w:rsid w:val="00023A9B"/>
    <w:rsid w:val="00026DFC"/>
    <w:rsid w:val="00041140"/>
    <w:rsid w:val="00052C32"/>
    <w:rsid w:val="000542C8"/>
    <w:rsid w:val="00062822"/>
    <w:rsid w:val="00066D0D"/>
    <w:rsid w:val="00071B3D"/>
    <w:rsid w:val="0008213E"/>
    <w:rsid w:val="00084C25"/>
    <w:rsid w:val="000B42EE"/>
    <w:rsid w:val="000C6EEC"/>
    <w:rsid w:val="000E2771"/>
    <w:rsid w:val="000F30B6"/>
    <w:rsid w:val="0010118C"/>
    <w:rsid w:val="00112DC6"/>
    <w:rsid w:val="00124A3D"/>
    <w:rsid w:val="001251D4"/>
    <w:rsid w:val="00136429"/>
    <w:rsid w:val="00150AD3"/>
    <w:rsid w:val="00153233"/>
    <w:rsid w:val="001532FF"/>
    <w:rsid w:val="00155659"/>
    <w:rsid w:val="001612D1"/>
    <w:rsid w:val="0018686E"/>
    <w:rsid w:val="001956DC"/>
    <w:rsid w:val="001B3827"/>
    <w:rsid w:val="001C0873"/>
    <w:rsid w:val="001C0E24"/>
    <w:rsid w:val="002117B2"/>
    <w:rsid w:val="002215B7"/>
    <w:rsid w:val="00232165"/>
    <w:rsid w:val="002409F3"/>
    <w:rsid w:val="00262C4D"/>
    <w:rsid w:val="00264C06"/>
    <w:rsid w:val="00277A32"/>
    <w:rsid w:val="0029643E"/>
    <w:rsid w:val="002C0359"/>
    <w:rsid w:val="002C3625"/>
    <w:rsid w:val="002C56C9"/>
    <w:rsid w:val="002D1761"/>
    <w:rsid w:val="002D5909"/>
    <w:rsid w:val="002F116B"/>
    <w:rsid w:val="0030056B"/>
    <w:rsid w:val="00305537"/>
    <w:rsid w:val="003123A4"/>
    <w:rsid w:val="00331252"/>
    <w:rsid w:val="003318DB"/>
    <w:rsid w:val="00335313"/>
    <w:rsid w:val="003419F4"/>
    <w:rsid w:val="0036588D"/>
    <w:rsid w:val="0037671F"/>
    <w:rsid w:val="00386A7B"/>
    <w:rsid w:val="003A0A54"/>
    <w:rsid w:val="003A4357"/>
    <w:rsid w:val="003A72BB"/>
    <w:rsid w:val="003B314F"/>
    <w:rsid w:val="003C7CF1"/>
    <w:rsid w:val="003F1131"/>
    <w:rsid w:val="003F7324"/>
    <w:rsid w:val="004042BA"/>
    <w:rsid w:val="00405D36"/>
    <w:rsid w:val="00412CEA"/>
    <w:rsid w:val="00430523"/>
    <w:rsid w:val="00445CFF"/>
    <w:rsid w:val="004603D1"/>
    <w:rsid w:val="00462C71"/>
    <w:rsid w:val="0048697E"/>
    <w:rsid w:val="004A2E5A"/>
    <w:rsid w:val="004C00AB"/>
    <w:rsid w:val="004C0D0D"/>
    <w:rsid w:val="004D1010"/>
    <w:rsid w:val="004D4674"/>
    <w:rsid w:val="004F2041"/>
    <w:rsid w:val="004F6B46"/>
    <w:rsid w:val="00534DC5"/>
    <w:rsid w:val="00535F01"/>
    <w:rsid w:val="00536F06"/>
    <w:rsid w:val="005378CD"/>
    <w:rsid w:val="00540D67"/>
    <w:rsid w:val="00550E8B"/>
    <w:rsid w:val="005552A4"/>
    <w:rsid w:val="00566458"/>
    <w:rsid w:val="00575F47"/>
    <w:rsid w:val="005875E0"/>
    <w:rsid w:val="005940F7"/>
    <w:rsid w:val="005A4A4B"/>
    <w:rsid w:val="005B2FAE"/>
    <w:rsid w:val="005D633B"/>
    <w:rsid w:val="005F250C"/>
    <w:rsid w:val="0060664F"/>
    <w:rsid w:val="00617FE8"/>
    <w:rsid w:val="00624DFE"/>
    <w:rsid w:val="00632670"/>
    <w:rsid w:val="00637A13"/>
    <w:rsid w:val="00650575"/>
    <w:rsid w:val="00652BEE"/>
    <w:rsid w:val="00655F68"/>
    <w:rsid w:val="00665C68"/>
    <w:rsid w:val="00667084"/>
    <w:rsid w:val="006716A8"/>
    <w:rsid w:val="00681142"/>
    <w:rsid w:val="00685610"/>
    <w:rsid w:val="006A182A"/>
    <w:rsid w:val="006D34E6"/>
    <w:rsid w:val="006E345F"/>
    <w:rsid w:val="006F5D19"/>
    <w:rsid w:val="00704537"/>
    <w:rsid w:val="00717114"/>
    <w:rsid w:val="007217B7"/>
    <w:rsid w:val="007353B2"/>
    <w:rsid w:val="00760D67"/>
    <w:rsid w:val="00762D8A"/>
    <w:rsid w:val="00791F6E"/>
    <w:rsid w:val="00794093"/>
    <w:rsid w:val="007955D5"/>
    <w:rsid w:val="007B1B38"/>
    <w:rsid w:val="007C0FF7"/>
    <w:rsid w:val="007E4D7C"/>
    <w:rsid w:val="007F4305"/>
    <w:rsid w:val="007F5337"/>
    <w:rsid w:val="008123A7"/>
    <w:rsid w:val="0082579F"/>
    <w:rsid w:val="008426AA"/>
    <w:rsid w:val="00880748"/>
    <w:rsid w:val="008A6207"/>
    <w:rsid w:val="008C7B94"/>
    <w:rsid w:val="008E0E7F"/>
    <w:rsid w:val="008E1EA5"/>
    <w:rsid w:val="008F0915"/>
    <w:rsid w:val="008F0F8E"/>
    <w:rsid w:val="009257CA"/>
    <w:rsid w:val="0095162B"/>
    <w:rsid w:val="0095375A"/>
    <w:rsid w:val="009648B7"/>
    <w:rsid w:val="0096529D"/>
    <w:rsid w:val="00975C5D"/>
    <w:rsid w:val="0098035A"/>
    <w:rsid w:val="009A441D"/>
    <w:rsid w:val="009A7AA0"/>
    <w:rsid w:val="009B2B70"/>
    <w:rsid w:val="009C0917"/>
    <w:rsid w:val="009E6B7C"/>
    <w:rsid w:val="00A04AFC"/>
    <w:rsid w:val="00A215A0"/>
    <w:rsid w:val="00A271C1"/>
    <w:rsid w:val="00A5736C"/>
    <w:rsid w:val="00A676CE"/>
    <w:rsid w:val="00A7411A"/>
    <w:rsid w:val="00A76BEE"/>
    <w:rsid w:val="00A83BD2"/>
    <w:rsid w:val="00A840A4"/>
    <w:rsid w:val="00AA1CBE"/>
    <w:rsid w:val="00AA2103"/>
    <w:rsid w:val="00AC3624"/>
    <w:rsid w:val="00AD1E1E"/>
    <w:rsid w:val="00B1396B"/>
    <w:rsid w:val="00B17795"/>
    <w:rsid w:val="00B20513"/>
    <w:rsid w:val="00B216A9"/>
    <w:rsid w:val="00B41A9B"/>
    <w:rsid w:val="00B4233E"/>
    <w:rsid w:val="00B445A5"/>
    <w:rsid w:val="00B45954"/>
    <w:rsid w:val="00B50BF1"/>
    <w:rsid w:val="00B60B6E"/>
    <w:rsid w:val="00B74405"/>
    <w:rsid w:val="00B961C5"/>
    <w:rsid w:val="00BA6179"/>
    <w:rsid w:val="00BB7C36"/>
    <w:rsid w:val="00BC0719"/>
    <w:rsid w:val="00BE0D34"/>
    <w:rsid w:val="00BE7499"/>
    <w:rsid w:val="00BF0F64"/>
    <w:rsid w:val="00C0552E"/>
    <w:rsid w:val="00C20121"/>
    <w:rsid w:val="00C243B8"/>
    <w:rsid w:val="00C47BEA"/>
    <w:rsid w:val="00C52B45"/>
    <w:rsid w:val="00C87A6B"/>
    <w:rsid w:val="00C95BA3"/>
    <w:rsid w:val="00CB28BA"/>
    <w:rsid w:val="00CD34C4"/>
    <w:rsid w:val="00CE7D69"/>
    <w:rsid w:val="00CF3FFA"/>
    <w:rsid w:val="00CF7F56"/>
    <w:rsid w:val="00D03BD3"/>
    <w:rsid w:val="00D0470D"/>
    <w:rsid w:val="00D167CE"/>
    <w:rsid w:val="00D20DD4"/>
    <w:rsid w:val="00D22E8D"/>
    <w:rsid w:val="00D3778F"/>
    <w:rsid w:val="00D431AB"/>
    <w:rsid w:val="00D5500F"/>
    <w:rsid w:val="00D63A01"/>
    <w:rsid w:val="00D81C50"/>
    <w:rsid w:val="00D86A7B"/>
    <w:rsid w:val="00DA01AB"/>
    <w:rsid w:val="00DB6D4F"/>
    <w:rsid w:val="00DB740B"/>
    <w:rsid w:val="00DD073A"/>
    <w:rsid w:val="00DD0B9D"/>
    <w:rsid w:val="00DD4CC0"/>
    <w:rsid w:val="00DD7AE7"/>
    <w:rsid w:val="00DE56C1"/>
    <w:rsid w:val="00E079C9"/>
    <w:rsid w:val="00E15DBD"/>
    <w:rsid w:val="00E17867"/>
    <w:rsid w:val="00E2077A"/>
    <w:rsid w:val="00E2493E"/>
    <w:rsid w:val="00E3454B"/>
    <w:rsid w:val="00E34D59"/>
    <w:rsid w:val="00E4334C"/>
    <w:rsid w:val="00E45499"/>
    <w:rsid w:val="00E45BB7"/>
    <w:rsid w:val="00E61A65"/>
    <w:rsid w:val="00E74966"/>
    <w:rsid w:val="00E824EA"/>
    <w:rsid w:val="00EA2DBE"/>
    <w:rsid w:val="00EB11F4"/>
    <w:rsid w:val="00EB16E2"/>
    <w:rsid w:val="00EC1033"/>
    <w:rsid w:val="00ED4775"/>
    <w:rsid w:val="00ED5DCF"/>
    <w:rsid w:val="00ED6EE7"/>
    <w:rsid w:val="00EE476C"/>
    <w:rsid w:val="00EF487B"/>
    <w:rsid w:val="00EF7EB4"/>
    <w:rsid w:val="00F104F0"/>
    <w:rsid w:val="00F112D6"/>
    <w:rsid w:val="00F15D16"/>
    <w:rsid w:val="00F5683B"/>
    <w:rsid w:val="00F573C2"/>
    <w:rsid w:val="00F757FC"/>
    <w:rsid w:val="00F75DB5"/>
    <w:rsid w:val="00F81169"/>
    <w:rsid w:val="00F866B5"/>
    <w:rsid w:val="00F872C2"/>
    <w:rsid w:val="00F937E3"/>
    <w:rsid w:val="00FA4F0B"/>
    <w:rsid w:val="00FE53B5"/>
    <w:rsid w:val="00FE552F"/>
    <w:rsid w:val="00FF3FFA"/>
    <w:rsid w:val="00FF5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C0FF52"/>
  <w15:docId w15:val="{DCFE3C57-045D-4EED-8B7D-68AAE43D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2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52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52A4"/>
  </w:style>
  <w:style w:type="paragraph" w:styleId="Piedepgina">
    <w:name w:val="footer"/>
    <w:basedOn w:val="Normal"/>
    <w:link w:val="PiedepginaCar"/>
    <w:uiPriority w:val="99"/>
    <w:unhideWhenUsed/>
    <w:rsid w:val="005552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52A4"/>
  </w:style>
  <w:style w:type="paragraph" w:styleId="Prrafodelista">
    <w:name w:val="List Paragraph"/>
    <w:basedOn w:val="Normal"/>
    <w:uiPriority w:val="34"/>
    <w:qFormat/>
    <w:rsid w:val="00A7411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B7C3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B7C3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B7C3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B7C3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B7C3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6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B05DD-9A78-49CE-AB72-CBD54773C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1488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Paricio</dc:creator>
  <cp:lastModifiedBy>jose maria gonzalez gay</cp:lastModifiedBy>
  <cp:revision>2</cp:revision>
  <cp:lastPrinted>2023-03-06T18:26:00Z</cp:lastPrinted>
  <dcterms:created xsi:type="dcterms:W3CDTF">2023-03-13T19:00:00Z</dcterms:created>
  <dcterms:modified xsi:type="dcterms:W3CDTF">2023-03-13T19:00:00Z</dcterms:modified>
</cp:coreProperties>
</file>