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17FE8" w:rsidRPr="00617FE8" w14:paraId="4F74FD1E" w14:textId="77777777" w:rsidTr="0082579F">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08F238AD" w14:textId="4114BD6C" w:rsidR="0082579F" w:rsidRPr="00617FE8" w:rsidRDefault="00F757FC" w:rsidP="0082579F">
            <w:pPr>
              <w:spacing w:line="360" w:lineRule="auto"/>
              <w:jc w:val="center"/>
              <w:rPr>
                <w:rFonts w:asciiTheme="majorHAnsi" w:hAnsiTheme="majorHAnsi" w:cstheme="majorHAnsi"/>
                <w:b/>
                <w:bCs/>
                <w:color w:val="404040" w:themeColor="text1" w:themeTint="BF"/>
                <w:sz w:val="28"/>
                <w:szCs w:val="28"/>
              </w:rPr>
            </w:pPr>
            <w:r w:rsidRPr="00617FE8">
              <w:rPr>
                <w:rFonts w:asciiTheme="majorHAnsi" w:hAnsiTheme="majorHAnsi" w:cstheme="majorHAnsi"/>
                <w:b/>
                <w:bCs/>
                <w:color w:val="404040" w:themeColor="text1" w:themeTint="BF"/>
                <w:sz w:val="28"/>
                <w:szCs w:val="28"/>
              </w:rPr>
              <w:t>Proceso de implantación de las recomendaciones seleccionada</w:t>
            </w:r>
            <w:r w:rsidR="0082579F" w:rsidRPr="00617FE8">
              <w:rPr>
                <w:rFonts w:asciiTheme="majorHAnsi" w:hAnsiTheme="majorHAnsi" w:cstheme="majorHAnsi"/>
                <w:b/>
                <w:bCs/>
                <w:color w:val="404040" w:themeColor="text1" w:themeTint="BF"/>
                <w:sz w:val="28"/>
                <w:szCs w:val="28"/>
              </w:rPr>
              <w:t>s</w:t>
            </w:r>
          </w:p>
        </w:tc>
      </w:tr>
      <w:tr w:rsidR="00617FE8" w:rsidRPr="00617FE8" w14:paraId="2A042C5D" w14:textId="77777777" w:rsidTr="00F757FC">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4B085746" w14:textId="050ABA13" w:rsidR="0082579F" w:rsidRDefault="0082579F" w:rsidP="0082579F">
            <w:pPr>
              <w:rPr>
                <w:rFonts w:ascii="Calibri" w:eastAsia="Calibri" w:hAnsi="Calibri" w:cs="Times New Roman"/>
                <w:bCs/>
                <w:color w:val="404040" w:themeColor="text1" w:themeTint="BF"/>
                <w:sz w:val="18"/>
                <w:szCs w:val="18"/>
              </w:rPr>
            </w:pPr>
            <w:r w:rsidRPr="00617FE8">
              <w:rPr>
                <w:rFonts w:ascii="Calibri" w:eastAsia="Calibri" w:hAnsi="Calibri" w:cs="Times New Roman"/>
                <w:bCs/>
                <w:color w:val="404040" w:themeColor="text1" w:themeTint="BF"/>
                <w:sz w:val="18"/>
                <w:szCs w:val="18"/>
              </w:rPr>
              <w:lastRenderedPageBreak/>
              <w:t>Se recomienda</w:t>
            </w:r>
            <w:r w:rsidR="000E2771" w:rsidRPr="00617FE8">
              <w:rPr>
                <w:rFonts w:ascii="Calibri" w:eastAsia="Calibri" w:hAnsi="Calibri" w:cs="Times New Roman"/>
                <w:bCs/>
                <w:color w:val="404040" w:themeColor="text1" w:themeTint="BF"/>
                <w:sz w:val="18"/>
                <w:szCs w:val="18"/>
              </w:rPr>
              <w:t xml:space="preserve"> describir los siguientes aspectos</w:t>
            </w:r>
            <w:r w:rsidRPr="00617FE8">
              <w:rPr>
                <w:rFonts w:ascii="Calibri" w:eastAsia="Calibri" w:hAnsi="Calibri" w:cs="Times New Roman"/>
                <w:bCs/>
                <w:color w:val="404040" w:themeColor="text1" w:themeTint="BF"/>
                <w:sz w:val="18"/>
                <w:szCs w:val="18"/>
              </w:rPr>
              <w:t xml:space="preserve">: </w:t>
            </w:r>
            <w:r w:rsidRPr="00617FE8">
              <w:rPr>
                <w:rFonts w:ascii="Calibri" w:eastAsia="Calibri" w:hAnsi="Calibri" w:cs="Times New Roman"/>
                <w:b/>
                <w:color w:val="404040" w:themeColor="text1" w:themeTint="BF"/>
                <w:sz w:val="18"/>
                <w:szCs w:val="18"/>
              </w:rPr>
              <w:t>1</w:t>
            </w:r>
            <w:r w:rsidRPr="00617FE8">
              <w:rPr>
                <w:rFonts w:ascii="Calibri" w:eastAsia="Calibri" w:hAnsi="Calibri" w:cs="Times New Roman"/>
                <w:bCs/>
                <w:color w:val="404040" w:themeColor="text1" w:themeTint="BF"/>
                <w:sz w:val="18"/>
                <w:szCs w:val="18"/>
              </w:rPr>
              <w:t xml:space="preserve">. proceso de identificación de la necesidad de implantar las recomendaciones y situación basal; </w:t>
            </w:r>
            <w:r w:rsidRPr="00617FE8">
              <w:rPr>
                <w:rFonts w:ascii="Calibri" w:eastAsia="Calibri" w:hAnsi="Calibri" w:cs="Times New Roman"/>
                <w:b/>
                <w:color w:val="404040" w:themeColor="text1" w:themeTint="BF"/>
                <w:sz w:val="18"/>
                <w:szCs w:val="18"/>
              </w:rPr>
              <w:t>2.</w:t>
            </w:r>
            <w:r w:rsidRPr="00617FE8">
              <w:rPr>
                <w:rFonts w:ascii="Calibri" w:eastAsia="Calibri" w:hAnsi="Calibri" w:cs="Times New Roman"/>
                <w:bCs/>
                <w:color w:val="404040" w:themeColor="text1" w:themeTint="BF"/>
                <w:sz w:val="18"/>
                <w:szCs w:val="18"/>
              </w:rPr>
              <w:t xml:space="preserve"> Listado, por orden de prioridad, de las recomendaciones de cada eje que la institución está interesada en implantar y evaluar </w:t>
            </w:r>
            <w:r w:rsidRPr="00617FE8">
              <w:rPr>
                <w:rFonts w:ascii="Calibri" w:eastAsia="Calibri" w:hAnsi="Calibri" w:cs="Times New Roman"/>
                <w:b/>
                <w:color w:val="404040" w:themeColor="text1" w:themeTint="BF"/>
                <w:sz w:val="18"/>
                <w:szCs w:val="18"/>
              </w:rPr>
              <w:t>3</w:t>
            </w:r>
            <w:r w:rsidRPr="00617FE8">
              <w:rPr>
                <w:rFonts w:ascii="Calibri" w:eastAsia="Calibri" w:hAnsi="Calibri" w:cs="Times New Roman"/>
                <w:bCs/>
                <w:color w:val="404040" w:themeColor="text1" w:themeTint="BF"/>
                <w:sz w:val="18"/>
                <w:szCs w:val="18"/>
              </w:rPr>
              <w:t xml:space="preserve">. Descripción del proceso de implantación (estrategia, actividades, evaluación y recursos); </w:t>
            </w:r>
            <w:r w:rsidRPr="00617FE8">
              <w:rPr>
                <w:rFonts w:ascii="Calibri" w:eastAsia="Calibri" w:hAnsi="Calibri" w:cs="Times New Roman"/>
                <w:b/>
                <w:color w:val="404040" w:themeColor="text1" w:themeTint="BF"/>
                <w:sz w:val="18"/>
                <w:szCs w:val="18"/>
              </w:rPr>
              <w:t>4.</w:t>
            </w:r>
            <w:r w:rsidRPr="00617FE8">
              <w:rPr>
                <w:rFonts w:ascii="Calibri" w:eastAsia="Calibri" w:hAnsi="Calibri" w:cs="Times New Roman"/>
                <w:bCs/>
                <w:color w:val="404040" w:themeColor="text1" w:themeTint="BF"/>
                <w:sz w:val="18"/>
                <w:szCs w:val="18"/>
              </w:rPr>
              <w:t xml:space="preserve"> Responsable, equipo o estructura constituida para acometer la propuesta y su interacción, </w:t>
            </w:r>
            <w:r w:rsidRPr="00617FE8">
              <w:rPr>
                <w:rFonts w:ascii="Calibri" w:eastAsia="Calibri" w:hAnsi="Calibri" w:cs="Times New Roman"/>
                <w:b/>
                <w:color w:val="404040" w:themeColor="text1" w:themeTint="BF"/>
                <w:sz w:val="18"/>
                <w:szCs w:val="18"/>
              </w:rPr>
              <w:t>5</w:t>
            </w:r>
            <w:r w:rsidRPr="00617FE8">
              <w:rPr>
                <w:rFonts w:ascii="Calibri" w:eastAsia="Calibri" w:hAnsi="Calibri" w:cs="Times New Roman"/>
                <w:bCs/>
                <w:color w:val="404040" w:themeColor="text1" w:themeTint="BF"/>
                <w:sz w:val="18"/>
                <w:szCs w:val="18"/>
              </w:rPr>
              <w:t xml:space="preserve">. Cronograma de la implantación de las recomendaciones, con actividades a realizar y responsables en cada etapa de la implantación. </w:t>
            </w:r>
          </w:p>
          <w:p w14:paraId="079121A4" w14:textId="1EB91820" w:rsidR="003F4F04" w:rsidRPr="003F4F04" w:rsidRDefault="003F4F04" w:rsidP="003F4F04">
            <w:pPr>
              <w:pStyle w:val="Prrafodelista"/>
              <w:numPr>
                <w:ilvl w:val="0"/>
                <w:numId w:val="1"/>
              </w:numPr>
              <w:rPr>
                <w:rFonts w:ascii="Calibri" w:eastAsia="Calibri" w:hAnsi="Calibri" w:cs="Times New Roman"/>
                <w:b/>
                <w:color w:val="404040" w:themeColor="text1" w:themeTint="BF"/>
                <w:sz w:val="18"/>
                <w:szCs w:val="18"/>
              </w:rPr>
            </w:pPr>
            <w:r w:rsidRPr="003F4F04">
              <w:rPr>
                <w:rFonts w:ascii="Calibri" w:eastAsia="Calibri" w:hAnsi="Calibri" w:cs="Times New Roman"/>
                <w:b/>
                <w:color w:val="404040" w:themeColor="text1" w:themeTint="BF"/>
                <w:sz w:val="18"/>
                <w:szCs w:val="18"/>
              </w:rPr>
              <w:t>PROCESO DE IDENTIFICACIÓN DE LA NECESIDAD DE IMPLANTAR LAS RECOMENDACIONES Y SITUACIÓN BASAL</w:t>
            </w:r>
          </w:p>
          <w:p w14:paraId="3F8F7031" w14:textId="77777777" w:rsidR="00391CB4" w:rsidRPr="00391CB4" w:rsidRDefault="00391CB4" w:rsidP="00391CB4">
            <w:p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En el documento de expresión de interés se manifestaba la tradición en investigación enfermera del Hospital Universitario Virgen de la Victoria. En este sentido, ya se comentó la creación de una Unidad Específica de Investigación Enfermera en mayo de 2005, con un responsable directo que dependía de la Jefatura de Bloque de Calidad, Formación e Investigación. Esta unidad desapareció unos años después, debido a los cambios estructurales que se llevaron a cabo durante la primera parte del segundo decenio de este siglo. No obstante, se mantuvieron algunas de las estructuras previamente existentes, como la revista Enfermería Docente (indexada en Cuiden y presente en la Hemeroteca Cantárida) y su comité de redacción, compuesto por enfermeras con experiencia e interés en la investigación.</w:t>
            </w:r>
          </w:p>
          <w:p w14:paraId="7CCFDAAB" w14:textId="32042156" w:rsidR="00391CB4" w:rsidRPr="00391CB4" w:rsidRDefault="00391CB4" w:rsidP="00391CB4">
            <w:p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 xml:space="preserve">Diversas situaciones adversas comprometieron esta situación, por lo que la Dirección de Enfermería comenzó, hace ya dos años, a identificar </w:t>
            </w:r>
            <w:r w:rsidR="005B0F0B" w:rsidRPr="00391CB4">
              <w:rPr>
                <w:rFonts w:ascii="Calibri" w:eastAsia="Calibri" w:hAnsi="Calibri" w:cs="Times New Roman"/>
                <w:bCs/>
                <w:color w:val="404040" w:themeColor="text1" w:themeTint="BF"/>
                <w:sz w:val="18"/>
                <w:szCs w:val="18"/>
              </w:rPr>
              <w:t>posibles déficits</w:t>
            </w:r>
            <w:r w:rsidRPr="00391CB4">
              <w:rPr>
                <w:rFonts w:ascii="Calibri" w:eastAsia="Calibri" w:hAnsi="Calibri" w:cs="Times New Roman"/>
                <w:bCs/>
                <w:color w:val="404040" w:themeColor="text1" w:themeTint="BF"/>
                <w:sz w:val="18"/>
                <w:szCs w:val="18"/>
              </w:rPr>
              <w:t xml:space="preserve"> en este sentido</w:t>
            </w:r>
            <w:r w:rsidR="00F73688">
              <w:rPr>
                <w:rFonts w:ascii="Calibri" w:eastAsia="Calibri" w:hAnsi="Calibri" w:cs="Times New Roman"/>
                <w:bCs/>
                <w:color w:val="404040" w:themeColor="text1" w:themeTint="BF"/>
                <w:sz w:val="18"/>
                <w:szCs w:val="18"/>
              </w:rPr>
              <w:t>,</w:t>
            </w:r>
            <w:r w:rsidRPr="00391CB4">
              <w:rPr>
                <w:rFonts w:ascii="Calibri" w:eastAsia="Calibri" w:hAnsi="Calibri" w:cs="Times New Roman"/>
                <w:bCs/>
                <w:color w:val="404040" w:themeColor="text1" w:themeTint="BF"/>
                <w:sz w:val="18"/>
                <w:szCs w:val="18"/>
              </w:rPr>
              <w:t xml:space="preserve"> </w:t>
            </w:r>
            <w:r>
              <w:rPr>
                <w:rFonts w:ascii="Calibri" w:eastAsia="Calibri" w:hAnsi="Calibri" w:cs="Times New Roman"/>
                <w:bCs/>
                <w:color w:val="404040" w:themeColor="text1" w:themeTint="BF"/>
                <w:sz w:val="18"/>
                <w:szCs w:val="18"/>
              </w:rPr>
              <w:t>junto con</w:t>
            </w:r>
            <w:r w:rsidRPr="00391CB4">
              <w:rPr>
                <w:rFonts w:ascii="Calibri" w:eastAsia="Calibri" w:hAnsi="Calibri" w:cs="Times New Roman"/>
                <w:bCs/>
                <w:color w:val="404040" w:themeColor="text1" w:themeTint="BF"/>
                <w:sz w:val="18"/>
                <w:szCs w:val="18"/>
              </w:rPr>
              <w:t xml:space="preserve"> áreas de mejora. Uno de los indicadores fue la disminución de artículos recibidos en la revista, junto con un menor número de revisores y de componentes del comité de redacción, lo que llevó a perder posiciones en el </w:t>
            </w:r>
            <w:r w:rsidR="00F73688" w:rsidRPr="00391CB4">
              <w:rPr>
                <w:rFonts w:ascii="Calibri" w:eastAsia="Calibri" w:hAnsi="Calibri" w:cs="Times New Roman"/>
                <w:bCs/>
                <w:color w:val="404040" w:themeColor="text1" w:themeTint="BF"/>
                <w:sz w:val="18"/>
                <w:szCs w:val="18"/>
              </w:rPr>
              <w:t>ranquin de</w:t>
            </w:r>
            <w:r w:rsidRPr="00391CB4">
              <w:rPr>
                <w:rFonts w:ascii="Calibri" w:eastAsia="Calibri" w:hAnsi="Calibri" w:cs="Times New Roman"/>
                <w:bCs/>
                <w:color w:val="404040" w:themeColor="text1" w:themeTint="BF"/>
                <w:sz w:val="18"/>
                <w:szCs w:val="18"/>
              </w:rPr>
              <w:t xml:space="preserve"> revistas que la Fundación Index realiza periódicamente, de manera similar al realizado por Clarivate Analytics. </w:t>
            </w:r>
          </w:p>
          <w:p w14:paraId="4D04CE47" w14:textId="1D86BC21" w:rsidR="00391CB4" w:rsidRPr="00391CB4" w:rsidRDefault="00391CB4" w:rsidP="00391CB4">
            <w:p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 xml:space="preserve">Otro aspecto detectado fue la pérdida de muchos profesionales referentes, debido a diversas contingencias, como jubilaciones o traslados. Esto puso de relevancia que no se disponía de información suficiente del nuevo personal incorporado con respecto a interés, conocimientos y competencias en investigación. </w:t>
            </w:r>
          </w:p>
          <w:p w14:paraId="4C6A52E2" w14:textId="2FFF95D2" w:rsidR="00391CB4" w:rsidRPr="00391CB4" w:rsidRDefault="00391CB4" w:rsidP="00391CB4">
            <w:p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 xml:space="preserve">Con estos antecedentes, se decidió crear de nuevo la Unidad de Investigación Enfermera, dependiente en esta ocasión de </w:t>
            </w:r>
            <w:r w:rsidR="00F73688" w:rsidRPr="00391CB4">
              <w:rPr>
                <w:rFonts w:ascii="Calibri" w:eastAsia="Calibri" w:hAnsi="Calibri" w:cs="Times New Roman"/>
                <w:bCs/>
                <w:color w:val="404040" w:themeColor="text1" w:themeTint="BF"/>
                <w:sz w:val="18"/>
                <w:szCs w:val="18"/>
              </w:rPr>
              <w:t>la Dirección</w:t>
            </w:r>
            <w:r w:rsidRPr="00391CB4">
              <w:rPr>
                <w:rFonts w:ascii="Calibri" w:eastAsia="Calibri" w:hAnsi="Calibri" w:cs="Times New Roman"/>
                <w:bCs/>
                <w:color w:val="404040" w:themeColor="text1" w:themeTint="BF"/>
                <w:sz w:val="18"/>
                <w:szCs w:val="18"/>
              </w:rPr>
              <w:t xml:space="preserve"> de Enfermería, ya que la estructura previa no existe actualmente desde que en nuestra comunidad autónoma se crearon las Unidades Integradas de Formación</w:t>
            </w:r>
            <w:r w:rsidR="00F73688">
              <w:rPr>
                <w:rFonts w:ascii="Calibri" w:eastAsia="Calibri" w:hAnsi="Calibri" w:cs="Times New Roman"/>
                <w:bCs/>
                <w:color w:val="404040" w:themeColor="text1" w:themeTint="BF"/>
                <w:sz w:val="18"/>
                <w:szCs w:val="18"/>
              </w:rPr>
              <w:t>.</w:t>
            </w:r>
          </w:p>
          <w:p w14:paraId="25FA80D2" w14:textId="77777777" w:rsidR="00391CB4" w:rsidRPr="00391CB4" w:rsidRDefault="00391CB4" w:rsidP="00391CB4">
            <w:p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Desde la creación de la unidad en mayo de 2022, se ha procedido a realizar distintas acciones con el objetivo de:</w:t>
            </w:r>
          </w:p>
          <w:p w14:paraId="162CAE2A" w14:textId="2910FACC" w:rsidR="00391CB4" w:rsidRDefault="00391CB4" w:rsidP="00391CB4">
            <w:pPr>
              <w:pStyle w:val="Prrafodelista"/>
              <w:numPr>
                <w:ilvl w:val="0"/>
                <w:numId w:val="3"/>
              </w:num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Detectar profesionales con formación e interés</w:t>
            </w:r>
          </w:p>
          <w:p w14:paraId="0B722C92" w14:textId="68A38E98" w:rsidR="00391CB4" w:rsidRPr="00391CB4" w:rsidRDefault="00391CB4" w:rsidP="00391CB4">
            <w:pPr>
              <w:pStyle w:val="Prrafodelista"/>
              <w:numPr>
                <w:ilvl w:val="0"/>
                <w:numId w:val="3"/>
              </w:numPr>
              <w:rPr>
                <w:rFonts w:ascii="Calibri" w:eastAsia="Calibri" w:hAnsi="Calibri" w:cs="Times New Roman"/>
                <w:bCs/>
                <w:color w:val="404040" w:themeColor="text1" w:themeTint="BF"/>
                <w:sz w:val="18"/>
                <w:szCs w:val="18"/>
              </w:rPr>
            </w:pPr>
            <w:r>
              <w:rPr>
                <w:rFonts w:ascii="Calibri" w:eastAsia="Calibri" w:hAnsi="Calibri" w:cs="Times New Roman"/>
                <w:bCs/>
                <w:color w:val="404040" w:themeColor="text1" w:themeTint="BF"/>
                <w:sz w:val="18"/>
                <w:szCs w:val="18"/>
              </w:rPr>
              <w:t>Crear la Comisión de Investigación Enfermera</w:t>
            </w:r>
          </w:p>
          <w:p w14:paraId="4B224BBC" w14:textId="15DD8087" w:rsidR="00391CB4" w:rsidRPr="00391CB4" w:rsidRDefault="00391CB4" w:rsidP="00391CB4">
            <w:pPr>
              <w:pStyle w:val="Prrafodelista"/>
              <w:numPr>
                <w:ilvl w:val="0"/>
                <w:numId w:val="3"/>
              </w:num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Detectar necesidades formativas</w:t>
            </w:r>
          </w:p>
          <w:p w14:paraId="7DC05A43" w14:textId="360E77CA" w:rsidR="00391CB4" w:rsidRPr="00391CB4" w:rsidRDefault="00391CB4" w:rsidP="00391CB4">
            <w:pPr>
              <w:pStyle w:val="Prrafodelista"/>
              <w:numPr>
                <w:ilvl w:val="0"/>
                <w:numId w:val="3"/>
              </w:num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Potenciar la Revista Enfermería Docente</w:t>
            </w:r>
          </w:p>
          <w:p w14:paraId="5753BCEA" w14:textId="1F601E5E" w:rsidR="00391CB4" w:rsidRPr="00391CB4" w:rsidRDefault="00391CB4" w:rsidP="00391CB4">
            <w:p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Y, por último, asumir el reto que supone incorporarse al Nursing Research Challenge</w:t>
            </w:r>
          </w:p>
          <w:p w14:paraId="42DB4677" w14:textId="77777777" w:rsidR="00391CB4" w:rsidRPr="00391CB4" w:rsidRDefault="00391CB4" w:rsidP="00391CB4">
            <w:pPr>
              <w:rPr>
                <w:rFonts w:ascii="Calibri" w:eastAsia="Calibri" w:hAnsi="Calibri" w:cs="Times New Roman"/>
                <w:b/>
                <w:color w:val="404040" w:themeColor="text1" w:themeTint="BF"/>
                <w:sz w:val="18"/>
                <w:szCs w:val="18"/>
              </w:rPr>
            </w:pPr>
            <w:r w:rsidRPr="00391CB4">
              <w:rPr>
                <w:rFonts w:ascii="Calibri" w:eastAsia="Calibri" w:hAnsi="Calibri" w:cs="Times New Roman"/>
                <w:b/>
                <w:color w:val="404040" w:themeColor="text1" w:themeTint="BF"/>
                <w:sz w:val="18"/>
                <w:szCs w:val="18"/>
              </w:rPr>
              <w:t>2. LISTADO, POR ORDEN DE PRIORIDAD, DE LAS RECOMENDACIONES DE CADA EJE QUE LA INSTITUCIÓN ESTÁ INTERESADA EN IMPLANTAR Y EVALUAR</w:t>
            </w:r>
          </w:p>
          <w:p w14:paraId="712B1353" w14:textId="77777777" w:rsidR="00391CB4" w:rsidRPr="00391CB4" w:rsidRDefault="00391CB4" w:rsidP="00391CB4">
            <w:pPr>
              <w:rPr>
                <w:rFonts w:ascii="Calibri" w:eastAsia="Calibri" w:hAnsi="Calibri" w:cs="Times New Roman"/>
                <w:b/>
                <w:color w:val="404040" w:themeColor="text1" w:themeTint="BF"/>
                <w:sz w:val="18"/>
                <w:szCs w:val="18"/>
              </w:rPr>
            </w:pPr>
            <w:r w:rsidRPr="00391CB4">
              <w:rPr>
                <w:rFonts w:ascii="Calibri" w:eastAsia="Calibri" w:hAnsi="Calibri" w:cs="Times New Roman"/>
                <w:b/>
                <w:color w:val="404040" w:themeColor="text1" w:themeTint="BF"/>
                <w:sz w:val="18"/>
                <w:szCs w:val="18"/>
              </w:rPr>
              <w:t>2.1 Detección de talento</w:t>
            </w:r>
          </w:p>
          <w:p w14:paraId="1C915E07" w14:textId="19242C00" w:rsidR="00391CB4" w:rsidRPr="00391CB4" w:rsidRDefault="00391CB4" w:rsidP="00391CB4">
            <w:pPr>
              <w:pStyle w:val="Prrafodelista"/>
              <w:numPr>
                <w:ilvl w:val="0"/>
                <w:numId w:val="6"/>
              </w:num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 xml:space="preserve">Crear un “mapa” de enfermeras con formación avanzada en investigación. </w:t>
            </w:r>
          </w:p>
          <w:p w14:paraId="0FD0E439" w14:textId="1FD2D653" w:rsidR="00391CB4" w:rsidRPr="00391CB4" w:rsidRDefault="00391CB4" w:rsidP="00391CB4">
            <w:pPr>
              <w:pStyle w:val="Prrafodelista"/>
              <w:numPr>
                <w:ilvl w:val="0"/>
                <w:numId w:val="6"/>
              </w:num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 xml:space="preserve">Crear una base de datos de enfermeras interesadas en investigar, con sus líneas de investigación o áreas de interés. </w:t>
            </w:r>
          </w:p>
          <w:p w14:paraId="5BD02297" w14:textId="00627868" w:rsidR="00391CB4" w:rsidRPr="00391CB4" w:rsidRDefault="00391CB4" w:rsidP="00391CB4">
            <w:pPr>
              <w:pStyle w:val="Prrafodelista"/>
              <w:numPr>
                <w:ilvl w:val="0"/>
                <w:numId w:val="6"/>
              </w:numPr>
              <w:rPr>
                <w:rFonts w:ascii="Calibri" w:eastAsia="Calibri" w:hAnsi="Calibri" w:cs="Times New Roman"/>
                <w:bCs/>
                <w:color w:val="404040" w:themeColor="text1" w:themeTint="BF"/>
                <w:sz w:val="18"/>
                <w:szCs w:val="18"/>
              </w:rPr>
            </w:pPr>
            <w:r w:rsidRPr="00391CB4">
              <w:rPr>
                <w:rFonts w:ascii="Calibri" w:eastAsia="Calibri" w:hAnsi="Calibri" w:cs="Times New Roman"/>
                <w:bCs/>
                <w:color w:val="404040" w:themeColor="text1" w:themeTint="BF"/>
                <w:sz w:val="18"/>
                <w:szCs w:val="18"/>
              </w:rPr>
              <w:t>Potenciar figuras de enfermeras consultoras y referentes.</w:t>
            </w:r>
          </w:p>
          <w:p w14:paraId="5ACBEA6C" w14:textId="0F9910AE" w:rsidR="00391CB4" w:rsidRPr="00391CB4" w:rsidRDefault="00391CB4" w:rsidP="00391CB4">
            <w:pPr>
              <w:rPr>
                <w:rFonts w:ascii="Calibri" w:eastAsia="Calibri" w:hAnsi="Calibri" w:cs="Times New Roman"/>
                <w:b/>
                <w:color w:val="404040" w:themeColor="text1" w:themeTint="BF"/>
                <w:sz w:val="18"/>
                <w:szCs w:val="18"/>
              </w:rPr>
            </w:pPr>
            <w:r w:rsidRPr="00391CB4">
              <w:rPr>
                <w:rFonts w:ascii="Calibri" w:eastAsia="Calibri" w:hAnsi="Calibri" w:cs="Times New Roman"/>
                <w:b/>
                <w:color w:val="404040" w:themeColor="text1" w:themeTint="BF"/>
                <w:sz w:val="18"/>
                <w:szCs w:val="18"/>
              </w:rPr>
              <w:t>2.2 Formación</w:t>
            </w:r>
          </w:p>
          <w:p w14:paraId="6BE3557C" w14:textId="77777777" w:rsidR="00391CB4" w:rsidRPr="00391CB4" w:rsidRDefault="00391CB4" w:rsidP="00391CB4">
            <w:pPr>
              <w:pStyle w:val="Prrafodelista"/>
              <w:numPr>
                <w:ilvl w:val="0"/>
                <w:numId w:val="7"/>
              </w:numPr>
              <w:suppressAutoHyphens/>
              <w:spacing w:line="360" w:lineRule="auto"/>
              <w:rPr>
                <w:rFonts w:cs="Calibri Light"/>
                <w:color w:val="000000"/>
                <w:sz w:val="18"/>
                <w:szCs w:val="28"/>
              </w:rPr>
            </w:pPr>
            <w:r w:rsidRPr="00391CB4">
              <w:rPr>
                <w:rFonts w:ascii="Calibri" w:hAnsi="Calibri" w:cs="Calibri Light"/>
                <w:color w:val="000000"/>
                <w:sz w:val="18"/>
                <w:szCs w:val="28"/>
              </w:rPr>
              <w:t>Aumentar la formación continuada en metodología de investigación de forma multidisciplinar</w:t>
            </w:r>
          </w:p>
          <w:p w14:paraId="0B535AFB" w14:textId="77777777" w:rsidR="00391CB4" w:rsidRPr="00391CB4" w:rsidRDefault="00391CB4" w:rsidP="00391CB4">
            <w:pPr>
              <w:pStyle w:val="Prrafodelista"/>
              <w:numPr>
                <w:ilvl w:val="0"/>
                <w:numId w:val="7"/>
              </w:numPr>
              <w:suppressAutoHyphens/>
              <w:spacing w:line="360" w:lineRule="auto"/>
              <w:rPr>
                <w:rFonts w:cs="Calibri Light"/>
                <w:color w:val="000000"/>
                <w:sz w:val="18"/>
                <w:szCs w:val="28"/>
              </w:rPr>
            </w:pPr>
            <w:r w:rsidRPr="00391CB4">
              <w:rPr>
                <w:rFonts w:ascii="Calibri" w:hAnsi="Calibri" w:cs="Calibri Light"/>
                <w:color w:val="000000"/>
                <w:sz w:val="18"/>
                <w:szCs w:val="28"/>
              </w:rPr>
              <w:t>Establecer y favorecer o facilitar el acceso a un archivo de recursos disponibles y formación para los que quieran investigar.</w:t>
            </w:r>
          </w:p>
          <w:p w14:paraId="7E21A5D2" w14:textId="0F5823C2" w:rsidR="00391CB4" w:rsidRDefault="00391CB4" w:rsidP="00391CB4">
            <w:pPr>
              <w:rPr>
                <w:rFonts w:ascii="Calibri" w:eastAsia="Calibri" w:hAnsi="Calibri" w:cs="Times New Roman"/>
                <w:bCs/>
                <w:color w:val="404040" w:themeColor="text1" w:themeTint="BF"/>
                <w:sz w:val="18"/>
                <w:szCs w:val="18"/>
              </w:rPr>
            </w:pPr>
          </w:p>
          <w:p w14:paraId="43608EEF" w14:textId="77777777" w:rsidR="00391CB4" w:rsidRPr="00391CB4" w:rsidRDefault="00391CB4" w:rsidP="00391CB4">
            <w:pPr>
              <w:rPr>
                <w:rFonts w:ascii="Calibri" w:eastAsia="Calibri" w:hAnsi="Calibri" w:cs="Times New Roman"/>
                <w:bCs/>
                <w:color w:val="404040" w:themeColor="text1" w:themeTint="BF"/>
                <w:sz w:val="18"/>
                <w:szCs w:val="18"/>
              </w:rPr>
            </w:pPr>
          </w:p>
          <w:p w14:paraId="5BED1CD4" w14:textId="6A584F46" w:rsidR="00391CB4" w:rsidRPr="00391CB4" w:rsidRDefault="00391CB4" w:rsidP="00391CB4">
            <w:pPr>
              <w:rPr>
                <w:rFonts w:ascii="Calibri" w:eastAsia="Calibri" w:hAnsi="Calibri" w:cs="Times New Roman"/>
                <w:b/>
                <w:color w:val="404040" w:themeColor="text1" w:themeTint="BF"/>
                <w:sz w:val="18"/>
                <w:szCs w:val="18"/>
              </w:rPr>
            </w:pPr>
            <w:r w:rsidRPr="00391CB4">
              <w:rPr>
                <w:rFonts w:ascii="Calibri" w:eastAsia="Calibri" w:hAnsi="Calibri" w:cs="Times New Roman"/>
                <w:b/>
                <w:color w:val="404040" w:themeColor="text1" w:themeTint="BF"/>
                <w:sz w:val="18"/>
                <w:szCs w:val="18"/>
              </w:rPr>
              <w:lastRenderedPageBreak/>
              <w:t>2.3 Difusión del Conocimiento</w:t>
            </w:r>
          </w:p>
          <w:p w14:paraId="0C4CAD27" w14:textId="77777777" w:rsidR="00F73688" w:rsidRPr="00F73688" w:rsidRDefault="00391CB4" w:rsidP="00391CB4">
            <w:pPr>
              <w:numPr>
                <w:ilvl w:val="0"/>
                <w:numId w:val="8"/>
              </w:numPr>
              <w:suppressAutoHyphens/>
              <w:spacing w:line="360" w:lineRule="auto"/>
              <w:rPr>
                <w:rFonts w:cs="Calibri Light"/>
                <w:color w:val="000000"/>
                <w:sz w:val="18"/>
                <w:szCs w:val="18"/>
              </w:rPr>
            </w:pPr>
            <w:r>
              <w:rPr>
                <w:rFonts w:ascii="Calibri" w:hAnsi="Calibri" w:cs="Calibri Light"/>
                <w:color w:val="000000"/>
                <w:sz w:val="18"/>
                <w:szCs w:val="18"/>
              </w:rPr>
              <w:t xml:space="preserve">Crear foros de encuentro que permitan aumentar la conexión y colaboración entre líderes o </w:t>
            </w:r>
          </w:p>
          <w:p w14:paraId="141BD6F8" w14:textId="749B74E6" w:rsidR="00391CB4" w:rsidRDefault="00391CB4" w:rsidP="00F73688">
            <w:pPr>
              <w:suppressAutoHyphens/>
              <w:spacing w:line="360" w:lineRule="auto"/>
              <w:ind w:left="1080"/>
              <w:rPr>
                <w:rFonts w:cs="Calibri Light"/>
                <w:color w:val="000000"/>
                <w:sz w:val="18"/>
                <w:szCs w:val="18"/>
              </w:rPr>
            </w:pPr>
            <w:r>
              <w:rPr>
                <w:rFonts w:ascii="Calibri" w:hAnsi="Calibri" w:cs="Calibri Light"/>
                <w:color w:val="000000"/>
                <w:sz w:val="18"/>
                <w:szCs w:val="18"/>
              </w:rPr>
              <w:t>referentes de proyectos de investigación concretos de las Organizaciones.</w:t>
            </w:r>
          </w:p>
          <w:p w14:paraId="0B12A95C" w14:textId="77777777" w:rsidR="00391CB4" w:rsidRDefault="00391CB4" w:rsidP="00391CB4">
            <w:pPr>
              <w:numPr>
                <w:ilvl w:val="0"/>
                <w:numId w:val="8"/>
              </w:numPr>
              <w:suppressAutoHyphens/>
              <w:spacing w:line="360" w:lineRule="auto"/>
              <w:rPr>
                <w:rFonts w:cs="Calibri Light"/>
                <w:color w:val="000000"/>
                <w:sz w:val="18"/>
                <w:szCs w:val="18"/>
              </w:rPr>
            </w:pPr>
            <w:r>
              <w:rPr>
                <w:rFonts w:ascii="Calibri" w:hAnsi="Calibri" w:cs="Calibri Light"/>
                <w:color w:val="000000"/>
                <w:sz w:val="18"/>
                <w:szCs w:val="18"/>
              </w:rPr>
              <w:t>Compartir la información de lo que se hace en los distintos servicios a través de sesiones clínicas y/o sesiones de unidad.</w:t>
            </w:r>
          </w:p>
          <w:p w14:paraId="65F7E9EA" w14:textId="77777777" w:rsidR="00391CB4" w:rsidRDefault="00391CB4" w:rsidP="00391CB4">
            <w:pPr>
              <w:numPr>
                <w:ilvl w:val="0"/>
                <w:numId w:val="8"/>
              </w:numPr>
              <w:suppressAutoHyphens/>
              <w:spacing w:line="360" w:lineRule="auto"/>
              <w:rPr>
                <w:rFonts w:cs="Calibri Light"/>
                <w:color w:val="000000"/>
                <w:sz w:val="18"/>
                <w:szCs w:val="18"/>
              </w:rPr>
            </w:pPr>
            <w:r>
              <w:rPr>
                <w:rFonts w:ascii="Calibri" w:hAnsi="Calibri" w:cs="Calibri Light"/>
                <w:color w:val="000000"/>
                <w:sz w:val="18"/>
                <w:szCs w:val="18"/>
              </w:rPr>
              <w:t>Mejorar la difusión de convocatorias, premios, recursos de las OSIs e Institutos</w:t>
            </w:r>
          </w:p>
          <w:p w14:paraId="72D59863" w14:textId="77777777" w:rsidR="00391CB4" w:rsidRDefault="00391CB4" w:rsidP="00391CB4">
            <w:pPr>
              <w:numPr>
                <w:ilvl w:val="0"/>
                <w:numId w:val="8"/>
              </w:numPr>
              <w:suppressAutoHyphens/>
              <w:spacing w:line="360" w:lineRule="auto"/>
              <w:rPr>
                <w:rFonts w:cs="Calibri Light"/>
                <w:color w:val="000000"/>
                <w:sz w:val="18"/>
                <w:szCs w:val="18"/>
              </w:rPr>
            </w:pPr>
            <w:r>
              <w:rPr>
                <w:rFonts w:ascii="Calibri" w:hAnsi="Calibri" w:cs="Calibri Light"/>
                <w:color w:val="000000"/>
                <w:sz w:val="18"/>
                <w:szCs w:val="18"/>
              </w:rPr>
              <w:t>Difundir lo que se hace y fomentar el trabajo en red.</w:t>
            </w:r>
          </w:p>
          <w:p w14:paraId="3277EAED" w14:textId="6FE77AF4" w:rsidR="00391CB4" w:rsidRPr="00391CB4" w:rsidRDefault="00391CB4" w:rsidP="00391CB4">
            <w:pPr>
              <w:rPr>
                <w:rFonts w:ascii="Calibri" w:eastAsia="Calibri" w:hAnsi="Calibri" w:cs="Times New Roman"/>
                <w:b/>
                <w:color w:val="404040" w:themeColor="text1" w:themeTint="BF"/>
                <w:sz w:val="18"/>
                <w:szCs w:val="18"/>
              </w:rPr>
            </w:pPr>
            <w:r w:rsidRPr="00391CB4">
              <w:rPr>
                <w:rFonts w:ascii="Calibri" w:eastAsia="Calibri" w:hAnsi="Calibri" w:cs="Times New Roman"/>
                <w:b/>
                <w:color w:val="404040" w:themeColor="text1" w:themeTint="BF"/>
                <w:sz w:val="18"/>
                <w:szCs w:val="18"/>
              </w:rPr>
              <w:t xml:space="preserve">2.4 Fomentar investigación enfermera dentro de equipos multidisciplinares y multicéntricos </w:t>
            </w:r>
          </w:p>
          <w:p w14:paraId="79583514" w14:textId="77777777" w:rsidR="00391CB4" w:rsidRDefault="00391CB4" w:rsidP="00391CB4">
            <w:pPr>
              <w:numPr>
                <w:ilvl w:val="0"/>
                <w:numId w:val="9"/>
              </w:numPr>
              <w:suppressAutoHyphens/>
              <w:spacing w:line="360" w:lineRule="auto"/>
              <w:rPr>
                <w:rFonts w:cs="Calibri Light"/>
                <w:color w:val="000000"/>
                <w:sz w:val="18"/>
                <w:szCs w:val="18"/>
              </w:rPr>
            </w:pPr>
            <w:r>
              <w:rPr>
                <w:rFonts w:ascii="Calibri" w:hAnsi="Calibri" w:cs="Calibri Light"/>
                <w:color w:val="000000"/>
                <w:sz w:val="18"/>
                <w:szCs w:val="18"/>
              </w:rPr>
              <w:t>Favorecer la inclusión de enfermeras en los grupos/equipos de investigación multidisciplinares.</w:t>
            </w:r>
          </w:p>
          <w:p w14:paraId="47F936F4" w14:textId="77777777" w:rsidR="00391CB4" w:rsidRDefault="00391CB4" w:rsidP="00391CB4">
            <w:pPr>
              <w:numPr>
                <w:ilvl w:val="0"/>
                <w:numId w:val="9"/>
              </w:numPr>
              <w:suppressAutoHyphens/>
              <w:spacing w:line="360" w:lineRule="auto"/>
              <w:rPr>
                <w:rFonts w:cs="Calibri Light"/>
                <w:color w:val="000000"/>
                <w:sz w:val="18"/>
                <w:szCs w:val="18"/>
              </w:rPr>
            </w:pPr>
            <w:r>
              <w:rPr>
                <w:rFonts w:ascii="Calibri" w:hAnsi="Calibri" w:cs="Calibri Light"/>
                <w:color w:val="000000"/>
                <w:sz w:val="18"/>
                <w:szCs w:val="18"/>
              </w:rPr>
              <w:t>Crear equipos de trabajo conjuntos y la realización de proyectos multicéntricos. Configurar grupos de investigación, grupos de apoyo, grupos de alto rendimiento para temas concretos…</w:t>
            </w:r>
          </w:p>
          <w:p w14:paraId="6C871A6B" w14:textId="70F37769" w:rsidR="00391CB4" w:rsidRDefault="00391CB4" w:rsidP="00391CB4">
            <w:pPr>
              <w:rPr>
                <w:rFonts w:ascii="Calibri" w:eastAsia="Calibri" w:hAnsi="Calibri" w:cs="Times New Roman"/>
                <w:b/>
                <w:color w:val="404040" w:themeColor="text1" w:themeTint="BF"/>
                <w:sz w:val="18"/>
                <w:szCs w:val="18"/>
              </w:rPr>
            </w:pPr>
            <w:r w:rsidRPr="00391CB4">
              <w:rPr>
                <w:rFonts w:ascii="Calibri" w:eastAsia="Calibri" w:hAnsi="Calibri" w:cs="Times New Roman"/>
                <w:b/>
                <w:color w:val="404040" w:themeColor="text1" w:themeTint="BF"/>
                <w:sz w:val="18"/>
                <w:szCs w:val="18"/>
              </w:rPr>
              <w:t>2.5 Recursos destinados a la Investigación en Enfermería</w:t>
            </w:r>
          </w:p>
          <w:p w14:paraId="12226D3D" w14:textId="77777777" w:rsidR="00391CB4" w:rsidRDefault="00391CB4" w:rsidP="00391CB4">
            <w:pPr>
              <w:numPr>
                <w:ilvl w:val="0"/>
                <w:numId w:val="10"/>
              </w:numPr>
              <w:suppressAutoHyphens/>
              <w:spacing w:line="360" w:lineRule="auto"/>
              <w:rPr>
                <w:rFonts w:cs="Calibri Light"/>
                <w:color w:val="000000"/>
                <w:sz w:val="18"/>
                <w:szCs w:val="18"/>
              </w:rPr>
            </w:pPr>
            <w:r>
              <w:rPr>
                <w:rFonts w:ascii="Calibri" w:hAnsi="Calibri" w:cs="Calibri Light"/>
                <w:color w:val="000000"/>
                <w:sz w:val="18"/>
                <w:szCs w:val="18"/>
              </w:rPr>
              <w:t>Facilitar la conciliación de investigación, con la práctica asistencial.</w:t>
            </w:r>
          </w:p>
          <w:p w14:paraId="4DC588C3" w14:textId="77777777" w:rsidR="00391CB4" w:rsidRDefault="00391CB4" w:rsidP="00391CB4">
            <w:pPr>
              <w:numPr>
                <w:ilvl w:val="0"/>
                <w:numId w:val="10"/>
              </w:numPr>
              <w:suppressAutoHyphens/>
              <w:spacing w:line="360" w:lineRule="auto"/>
              <w:rPr>
                <w:rFonts w:cs="Calibri Light"/>
                <w:color w:val="000000"/>
                <w:sz w:val="18"/>
                <w:szCs w:val="18"/>
              </w:rPr>
            </w:pPr>
            <w:r>
              <w:rPr>
                <w:rFonts w:ascii="Calibri" w:hAnsi="Calibri" w:cs="Calibri Light"/>
                <w:color w:val="000000"/>
                <w:sz w:val="18"/>
                <w:szCs w:val="18"/>
              </w:rPr>
              <w:t>Facilitar la asistencia a foros científicos (Jornadas, congresos…) así como la formación continuada</w:t>
            </w:r>
          </w:p>
          <w:p w14:paraId="2E1C853F" w14:textId="77777777" w:rsidR="00391CB4" w:rsidRDefault="00391CB4" w:rsidP="00391CB4">
            <w:pPr>
              <w:numPr>
                <w:ilvl w:val="0"/>
                <w:numId w:val="10"/>
              </w:numPr>
              <w:suppressAutoHyphens/>
              <w:spacing w:line="360" w:lineRule="auto"/>
              <w:rPr>
                <w:rFonts w:cs="Calibri Light"/>
                <w:color w:val="000000"/>
                <w:sz w:val="18"/>
                <w:szCs w:val="18"/>
              </w:rPr>
            </w:pPr>
            <w:r>
              <w:rPr>
                <w:rFonts w:ascii="Calibri" w:hAnsi="Calibri" w:cs="Calibri Light"/>
                <w:color w:val="000000"/>
                <w:sz w:val="18"/>
                <w:szCs w:val="18"/>
              </w:rPr>
              <w:t>Potenciar la investigación/innovación en las figuras de enfermera de práctica avanzada (EPA).</w:t>
            </w:r>
          </w:p>
          <w:p w14:paraId="160D71B6" w14:textId="3E1BC27E" w:rsidR="00391CB4" w:rsidRDefault="00391CB4" w:rsidP="00391CB4">
            <w:pPr>
              <w:rPr>
                <w:rFonts w:ascii="Calibri" w:eastAsia="Calibri" w:hAnsi="Calibri" w:cs="Times New Roman"/>
                <w:b/>
                <w:color w:val="404040" w:themeColor="text1" w:themeTint="BF"/>
                <w:sz w:val="18"/>
                <w:szCs w:val="18"/>
              </w:rPr>
            </w:pPr>
            <w:r w:rsidRPr="00391CB4">
              <w:rPr>
                <w:rFonts w:ascii="Calibri" w:eastAsia="Calibri" w:hAnsi="Calibri" w:cs="Times New Roman"/>
                <w:b/>
                <w:color w:val="404040" w:themeColor="text1" w:themeTint="BF"/>
                <w:sz w:val="18"/>
                <w:szCs w:val="18"/>
              </w:rPr>
              <w:t>2.6 Incorporación de la perspectiva del paciente. Traslación de resultados</w:t>
            </w:r>
          </w:p>
          <w:p w14:paraId="764033A5" w14:textId="77777777" w:rsidR="00391CB4" w:rsidRDefault="00391CB4" w:rsidP="00391CB4">
            <w:pPr>
              <w:numPr>
                <w:ilvl w:val="0"/>
                <w:numId w:val="11"/>
              </w:numPr>
              <w:suppressAutoHyphens/>
              <w:spacing w:line="360" w:lineRule="auto"/>
              <w:rPr>
                <w:rFonts w:cs="Calibri Light"/>
                <w:color w:val="000000"/>
                <w:sz w:val="18"/>
                <w:szCs w:val="18"/>
              </w:rPr>
            </w:pPr>
            <w:r>
              <w:rPr>
                <w:rFonts w:ascii="Calibri" w:hAnsi="Calibri" w:cs="Calibri Light"/>
                <w:color w:val="000000"/>
                <w:sz w:val="18"/>
                <w:szCs w:val="18"/>
              </w:rPr>
              <w:t>Incorporar la perspectiva del paciente en las investigaciones que se desarrollen y contar con su participación en la selección de las temáticas de interés.</w:t>
            </w:r>
          </w:p>
          <w:p w14:paraId="180A39A7" w14:textId="77777777" w:rsidR="00391CB4" w:rsidRDefault="00391CB4" w:rsidP="00391CB4">
            <w:pPr>
              <w:numPr>
                <w:ilvl w:val="0"/>
                <w:numId w:val="11"/>
              </w:numPr>
              <w:suppressAutoHyphens/>
              <w:spacing w:line="360" w:lineRule="auto"/>
              <w:rPr>
                <w:rFonts w:cs="Calibri Light"/>
                <w:color w:val="000000"/>
                <w:sz w:val="18"/>
                <w:szCs w:val="18"/>
              </w:rPr>
            </w:pPr>
            <w:r>
              <w:rPr>
                <w:rFonts w:ascii="Calibri" w:hAnsi="Calibri" w:cs="Calibri Light"/>
                <w:color w:val="000000"/>
                <w:sz w:val="18"/>
                <w:szCs w:val="18"/>
              </w:rPr>
              <w:t>Impulsar la traslación a la práctica clínica de los resultados de la investigación e innovación.</w:t>
            </w:r>
          </w:p>
          <w:p w14:paraId="52E5338F" w14:textId="77777777" w:rsidR="00391CB4" w:rsidRDefault="00391CB4" w:rsidP="00391CB4">
            <w:pPr>
              <w:pStyle w:val="Prrafodelista"/>
              <w:spacing w:line="360" w:lineRule="auto"/>
              <w:ind w:left="0"/>
              <w:rPr>
                <w:rFonts w:eastAsia="Calibri" w:cs="Times New Roman"/>
                <w:b/>
                <w:bCs/>
                <w:color w:val="404040"/>
                <w:sz w:val="18"/>
                <w:szCs w:val="18"/>
              </w:rPr>
            </w:pPr>
            <w:r>
              <w:rPr>
                <w:rFonts w:eastAsia="Calibri" w:cs="Times New Roman"/>
                <w:b/>
                <w:bCs/>
                <w:color w:val="404040"/>
                <w:sz w:val="18"/>
                <w:szCs w:val="18"/>
              </w:rPr>
              <w:t>3. DESCRIPCIÓN DEL PROCESO DE IMPLANTACIÓN (ESTRATEGIA, ACTIVIDADES, EVALUACIÓN Y RECURSOS);</w:t>
            </w:r>
          </w:p>
          <w:p w14:paraId="3DF7D96E" w14:textId="77777777" w:rsidR="00391CB4" w:rsidRDefault="00391CB4" w:rsidP="00391CB4">
            <w:pPr>
              <w:spacing w:line="360" w:lineRule="auto"/>
              <w:rPr>
                <w:rFonts w:eastAsia="Calibri" w:cs="Times New Roman"/>
                <w:color w:val="404040"/>
                <w:sz w:val="18"/>
                <w:szCs w:val="18"/>
              </w:rPr>
            </w:pPr>
            <w:r>
              <w:rPr>
                <w:rFonts w:eastAsia="Calibri" w:cs="Times New Roman"/>
                <w:color w:val="404040"/>
                <w:sz w:val="18"/>
                <w:szCs w:val="18"/>
              </w:rPr>
              <w:t>Con el objetivo de poder llevar a buen puerto el reto, las acciones estratégicas que se están planificando son (ordenadas según los puntos reseñados por NRC)</w:t>
            </w:r>
          </w:p>
          <w:p w14:paraId="3B490FB6"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Búsqueda de talento mediante la creación de una base de datos específica y unificada, que incluya enfermeras del complejo hospitalario que estén colaborando en proyectos de investigación o realizando el programa de doctorado en Ciencias de la Salud de la UMA.</w:t>
            </w:r>
          </w:p>
          <w:p w14:paraId="7CEC9786" w14:textId="53CB6C68"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Consultar en el Instituto de Investigación Biomédica de Málaga (IBIMA) el número de enfermeras contratadas y vinculadas a proyectos de investigación para incorporarlas a la base de datos previamente comentada.</w:t>
            </w:r>
            <w:r w:rsidR="00F73688">
              <w:rPr>
                <w:rFonts w:eastAsia="Calibri" w:cs="Times New Roman"/>
                <w:color w:val="404040"/>
                <w:sz w:val="18"/>
                <w:szCs w:val="18"/>
              </w:rPr>
              <w:t xml:space="preserve"> Estas enfermeras suelen ser jóvenes y la gran mayoría con formación mínima de master. </w:t>
            </w:r>
          </w:p>
          <w:p w14:paraId="1B7DEACA"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Creación de la figura del Coordinador de Investigación Enfermera (ya en marcha) como referente en investigación en cuidados.</w:t>
            </w:r>
          </w:p>
          <w:p w14:paraId="48A50BA4" w14:textId="3D252576"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lastRenderedPageBreak/>
              <w:t>Diseñar un plan formativo por niveles de complejidad, en coordinación con la Unidad de Formación del Centro, que incluya formación</w:t>
            </w:r>
            <w:r w:rsidR="00F73688">
              <w:rPr>
                <w:rFonts w:eastAsia="Calibri" w:cs="Times New Roman"/>
                <w:color w:val="404040"/>
                <w:sz w:val="18"/>
                <w:szCs w:val="18"/>
              </w:rPr>
              <w:t xml:space="preserve">, en un primer paso, </w:t>
            </w:r>
            <w:r>
              <w:rPr>
                <w:rFonts w:eastAsia="Calibri" w:cs="Times New Roman"/>
                <w:color w:val="404040"/>
                <w:sz w:val="18"/>
                <w:szCs w:val="18"/>
              </w:rPr>
              <w:t xml:space="preserve"> al menos en metodología, presentación de resultados y escritura científica.</w:t>
            </w:r>
          </w:p>
          <w:p w14:paraId="7EBC7E9F"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Establecer un calendario de sesiones formativas en unidades, con el formato “píldora informativa”, previa evaluación de éstas por la Agencia de Calidad Sanitaria de Andalucía (ACSA).</w:t>
            </w:r>
          </w:p>
          <w:p w14:paraId="2052971E" w14:textId="3C729C73"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 xml:space="preserve">Puesta en marcha de una Comisión </w:t>
            </w:r>
            <w:r w:rsidR="00F73688">
              <w:rPr>
                <w:rFonts w:eastAsia="Calibri" w:cs="Times New Roman"/>
                <w:color w:val="404040"/>
                <w:sz w:val="18"/>
                <w:szCs w:val="18"/>
              </w:rPr>
              <w:t>de investigación</w:t>
            </w:r>
            <w:r>
              <w:rPr>
                <w:rFonts w:eastAsia="Calibri" w:cs="Times New Roman"/>
                <w:color w:val="404040"/>
                <w:sz w:val="18"/>
                <w:szCs w:val="18"/>
              </w:rPr>
              <w:t xml:space="preserve"> enfermera, conformada por profesionales referentes.</w:t>
            </w:r>
          </w:p>
          <w:p w14:paraId="1B7C2F65"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Creación de una lista de correos específica para difusión de convocatorias, ayudas y premios de investigación.</w:t>
            </w:r>
          </w:p>
          <w:p w14:paraId="0632F2D6"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Facilitar la colaboración con la revista Enfermería Docente, tanto a la hora de publicar artículos como participando como revisores y miembros del comité de redacción.</w:t>
            </w:r>
          </w:p>
          <w:p w14:paraId="6B9AB79C"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Fomentar la participación enfermera en proyectos en marcha y futuros</w:t>
            </w:r>
          </w:p>
          <w:p w14:paraId="2982BA88"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Estudiar la forma de realizar una compensación horaria para facilitar la investigación durante la jornada laboral habitual.</w:t>
            </w:r>
          </w:p>
          <w:p w14:paraId="173ACBC0" w14:textId="4DA18839"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 xml:space="preserve">Establecer un circuito para el acceso a ayudas a la formación en investigación (cursos específicos, asistencia a actividades científicas, </w:t>
            </w:r>
            <w:r w:rsidR="00F73688">
              <w:rPr>
                <w:rFonts w:eastAsia="Calibri" w:cs="Times New Roman"/>
                <w:color w:val="404040"/>
                <w:sz w:val="18"/>
                <w:szCs w:val="18"/>
              </w:rPr>
              <w:t>etc.</w:t>
            </w:r>
            <w:r>
              <w:rPr>
                <w:rFonts w:eastAsia="Calibri" w:cs="Times New Roman"/>
                <w:color w:val="404040"/>
                <w:sz w:val="18"/>
                <w:szCs w:val="18"/>
              </w:rPr>
              <w:t>) que incluya bolsa económica y disponibilidad de días.</w:t>
            </w:r>
          </w:p>
          <w:p w14:paraId="45A73E25"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Incluir a las Enfermeras de Práctica Avanzada de las diferentes unidades del centro en programas formativos en investigación y colaborar con ellas para el desarrollo de procesos investigadores en su ámbito de actuación.</w:t>
            </w:r>
          </w:p>
          <w:p w14:paraId="3C07F087" w14:textId="77777777"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Consultar a pacientes sobre áreas de interés, por medio de las distintas Escuelas de Pacientes existentes en el centro y las Asociaciones de Pacientes que tienen vinculación con el mismo.</w:t>
            </w:r>
          </w:p>
          <w:p w14:paraId="17A331C7" w14:textId="19799DA4" w:rsidR="00391CB4" w:rsidRDefault="00391CB4" w:rsidP="00391CB4">
            <w:pPr>
              <w:numPr>
                <w:ilvl w:val="0"/>
                <w:numId w:val="12"/>
              </w:numPr>
              <w:suppressAutoHyphens/>
              <w:spacing w:line="360" w:lineRule="auto"/>
              <w:rPr>
                <w:rFonts w:eastAsia="Calibri" w:cs="Times New Roman"/>
                <w:color w:val="404040"/>
                <w:sz w:val="18"/>
                <w:szCs w:val="18"/>
              </w:rPr>
            </w:pPr>
            <w:r>
              <w:rPr>
                <w:rFonts w:eastAsia="Calibri" w:cs="Times New Roman"/>
                <w:color w:val="404040"/>
                <w:sz w:val="18"/>
                <w:szCs w:val="18"/>
              </w:rPr>
              <w:t>Renovar y-o modificar los protocolos enfermeros del centro según las últimas evidencias incorporadas a nuestro acervo científico, estableciendo una estrecha colaboración entre la Comisión de Investigación</w:t>
            </w:r>
            <w:r w:rsidR="00F73688">
              <w:rPr>
                <w:rFonts w:eastAsia="Calibri" w:cs="Times New Roman"/>
                <w:color w:val="404040"/>
                <w:sz w:val="18"/>
                <w:szCs w:val="18"/>
              </w:rPr>
              <w:t>, la Unidad de Evaluación y Seguridad del Paciente</w:t>
            </w:r>
            <w:r>
              <w:rPr>
                <w:rFonts w:eastAsia="Calibri" w:cs="Times New Roman"/>
                <w:color w:val="404040"/>
                <w:sz w:val="18"/>
                <w:szCs w:val="18"/>
              </w:rPr>
              <w:t xml:space="preserve"> y la de Protocolos Enfermeros del centro.</w:t>
            </w:r>
          </w:p>
          <w:p w14:paraId="586958A6" w14:textId="15B6BFDA" w:rsidR="00391CB4" w:rsidRDefault="00391CB4" w:rsidP="00391CB4">
            <w:pPr>
              <w:spacing w:line="360" w:lineRule="auto"/>
              <w:rPr>
                <w:rFonts w:eastAsia="Calibri" w:cs="Times New Roman"/>
                <w:color w:val="404040"/>
                <w:sz w:val="18"/>
                <w:szCs w:val="18"/>
              </w:rPr>
            </w:pPr>
            <w:r>
              <w:rPr>
                <w:rFonts w:eastAsia="Calibri" w:cs="Times New Roman"/>
                <w:color w:val="404040"/>
                <w:sz w:val="18"/>
                <w:szCs w:val="18"/>
              </w:rPr>
              <w:t>Como sistema de evaluación se emplearán los</w:t>
            </w:r>
            <w:r w:rsidR="00F73688">
              <w:rPr>
                <w:rFonts w:eastAsia="Calibri" w:cs="Times New Roman"/>
                <w:color w:val="404040"/>
                <w:sz w:val="18"/>
                <w:szCs w:val="18"/>
              </w:rPr>
              <w:t xml:space="preserve"> elementos</w:t>
            </w:r>
            <w:r>
              <w:rPr>
                <w:rFonts w:eastAsia="Calibri" w:cs="Times New Roman"/>
                <w:color w:val="404040"/>
                <w:sz w:val="18"/>
                <w:szCs w:val="18"/>
              </w:rPr>
              <w:t xml:space="preserve"> suministrados por NRC,</w:t>
            </w:r>
            <w:r w:rsidR="00F73688">
              <w:rPr>
                <w:rFonts w:eastAsia="Calibri" w:cs="Times New Roman"/>
                <w:color w:val="404040"/>
                <w:sz w:val="18"/>
                <w:szCs w:val="18"/>
              </w:rPr>
              <w:t xml:space="preserve"> y </w:t>
            </w:r>
            <w:r>
              <w:rPr>
                <w:rFonts w:eastAsia="Calibri" w:cs="Times New Roman"/>
                <w:color w:val="404040"/>
                <w:sz w:val="18"/>
                <w:szCs w:val="18"/>
              </w:rPr>
              <w:t xml:space="preserve"> los recursos se detallan en el siguiente punto.</w:t>
            </w:r>
          </w:p>
          <w:p w14:paraId="5C7ACB65" w14:textId="77777777" w:rsidR="00391CB4" w:rsidRDefault="00391CB4" w:rsidP="00391CB4">
            <w:pPr>
              <w:spacing w:line="360" w:lineRule="auto"/>
              <w:rPr>
                <w:rFonts w:eastAsia="Calibri" w:cs="Times New Roman"/>
                <w:b/>
                <w:bCs/>
                <w:color w:val="404040"/>
                <w:sz w:val="18"/>
                <w:szCs w:val="18"/>
              </w:rPr>
            </w:pPr>
            <w:r>
              <w:rPr>
                <w:rFonts w:eastAsia="Calibri" w:cs="Times New Roman"/>
                <w:b/>
                <w:bCs/>
                <w:color w:val="404040"/>
                <w:sz w:val="18"/>
                <w:szCs w:val="18"/>
              </w:rPr>
              <w:t>4. RESPONSABLE, EQUIPO O ESTRUCTURA CONSTITUIDA PARA ACOMETER LA PROPUESTA Y SU INTERACCIÓN</w:t>
            </w:r>
          </w:p>
          <w:p w14:paraId="6DD9BB87" w14:textId="77777777" w:rsidR="00391CB4" w:rsidRDefault="00391CB4" w:rsidP="00391CB4">
            <w:pPr>
              <w:rPr>
                <w:sz w:val="18"/>
                <w:szCs w:val="18"/>
              </w:rPr>
            </w:pPr>
            <w:r>
              <w:rPr>
                <w:sz w:val="18"/>
                <w:szCs w:val="18"/>
              </w:rPr>
              <w:t>Las estructuras necesarias para llevar adelante el reto en nuestro centro son las siguientes, todas integradas por enfermeras:</w:t>
            </w:r>
          </w:p>
          <w:p w14:paraId="54FC2214" w14:textId="77777777" w:rsidR="00391CB4" w:rsidRDefault="00391CB4" w:rsidP="00391CB4">
            <w:pPr>
              <w:numPr>
                <w:ilvl w:val="0"/>
                <w:numId w:val="13"/>
              </w:numPr>
              <w:suppressAutoHyphens/>
              <w:rPr>
                <w:sz w:val="18"/>
                <w:szCs w:val="18"/>
              </w:rPr>
            </w:pPr>
            <w:r>
              <w:rPr>
                <w:sz w:val="18"/>
                <w:szCs w:val="18"/>
              </w:rPr>
              <w:t>Dirección de Enfermería</w:t>
            </w:r>
          </w:p>
          <w:p w14:paraId="67B432CE" w14:textId="77777777" w:rsidR="00391CB4" w:rsidRDefault="00391CB4" w:rsidP="00391CB4">
            <w:pPr>
              <w:numPr>
                <w:ilvl w:val="0"/>
                <w:numId w:val="13"/>
              </w:numPr>
              <w:suppressAutoHyphens/>
              <w:rPr>
                <w:sz w:val="18"/>
                <w:szCs w:val="18"/>
              </w:rPr>
            </w:pPr>
            <w:r>
              <w:rPr>
                <w:sz w:val="18"/>
                <w:szCs w:val="18"/>
              </w:rPr>
              <w:t>Coordinación de Investigación de Enfermería</w:t>
            </w:r>
          </w:p>
          <w:p w14:paraId="070DE500" w14:textId="4447B52C" w:rsidR="00391CB4" w:rsidRDefault="00265068" w:rsidP="00391CB4">
            <w:pPr>
              <w:numPr>
                <w:ilvl w:val="0"/>
                <w:numId w:val="13"/>
              </w:numPr>
              <w:suppressAutoHyphens/>
              <w:rPr>
                <w:sz w:val="18"/>
                <w:szCs w:val="18"/>
              </w:rPr>
            </w:pPr>
            <w:r w:rsidRPr="00265068">
              <w:rPr>
                <w:sz w:val="18"/>
                <w:szCs w:val="18"/>
              </w:rPr>
              <w:t>Unidad de Evaluación y seguridad del paciente</w:t>
            </w:r>
          </w:p>
          <w:p w14:paraId="3B16F483" w14:textId="77777777" w:rsidR="00391CB4" w:rsidRDefault="00391CB4" w:rsidP="00391CB4">
            <w:pPr>
              <w:numPr>
                <w:ilvl w:val="0"/>
                <w:numId w:val="13"/>
              </w:numPr>
              <w:suppressAutoHyphens/>
              <w:rPr>
                <w:sz w:val="18"/>
                <w:szCs w:val="18"/>
              </w:rPr>
            </w:pPr>
            <w:r>
              <w:rPr>
                <w:sz w:val="18"/>
                <w:szCs w:val="18"/>
              </w:rPr>
              <w:t>Unidad de Formación</w:t>
            </w:r>
          </w:p>
          <w:p w14:paraId="7AAF1250" w14:textId="77777777" w:rsidR="00391CB4" w:rsidRDefault="00391CB4" w:rsidP="00391CB4">
            <w:pPr>
              <w:numPr>
                <w:ilvl w:val="0"/>
                <w:numId w:val="13"/>
              </w:numPr>
              <w:suppressAutoHyphens/>
              <w:rPr>
                <w:sz w:val="18"/>
                <w:szCs w:val="18"/>
              </w:rPr>
            </w:pPr>
            <w:r>
              <w:rPr>
                <w:sz w:val="18"/>
                <w:szCs w:val="18"/>
              </w:rPr>
              <w:t>Comisiones de Calidad del Centro</w:t>
            </w:r>
          </w:p>
          <w:p w14:paraId="4DD1E7B3" w14:textId="384903B8" w:rsidR="00F73688" w:rsidRDefault="00391CB4" w:rsidP="00391CB4">
            <w:pPr>
              <w:rPr>
                <w:sz w:val="18"/>
                <w:szCs w:val="18"/>
              </w:rPr>
            </w:pPr>
            <w:r>
              <w:rPr>
                <w:sz w:val="18"/>
                <w:szCs w:val="18"/>
              </w:rPr>
              <w:lastRenderedPageBreak/>
              <w:t xml:space="preserve">La Dirección de Enfermería aparece como máxima responsable de las intervenciones necesarias para realizar los cambios que permitan afrontar con éxito el proyecto, </w:t>
            </w:r>
            <w:r w:rsidR="00F73688">
              <w:rPr>
                <w:sz w:val="18"/>
                <w:szCs w:val="18"/>
              </w:rPr>
              <w:t>siendo el vértice de</w:t>
            </w:r>
            <w:r>
              <w:rPr>
                <w:sz w:val="18"/>
                <w:szCs w:val="18"/>
              </w:rPr>
              <w:t xml:space="preserve"> las distintas áreas que intervendrán en el proceso. La Coordinación de Investigación asumirá, junto con los colaboradores que se estipulen, la creación de las bases de datos, la interacción con la Unidad de Formación (de la que depende la revista Enfermería Docente y que sería la organizadora de las actividades formativas en investigación) y con</w:t>
            </w:r>
            <w:r w:rsidR="00265068">
              <w:rPr>
                <w:sz w:val="18"/>
                <w:szCs w:val="18"/>
              </w:rPr>
              <w:t xml:space="preserve"> la</w:t>
            </w:r>
            <w:r>
              <w:rPr>
                <w:sz w:val="18"/>
                <w:szCs w:val="18"/>
              </w:rPr>
              <w:t xml:space="preserve"> </w:t>
            </w:r>
            <w:r w:rsidR="00265068" w:rsidRPr="00265068">
              <w:rPr>
                <w:sz w:val="18"/>
                <w:szCs w:val="18"/>
              </w:rPr>
              <w:t>Unidad de Evaluación y seguridad del paciente</w:t>
            </w:r>
            <w:r>
              <w:rPr>
                <w:sz w:val="18"/>
                <w:szCs w:val="18"/>
              </w:rPr>
              <w:t xml:space="preserve">, que </w:t>
            </w:r>
            <w:r w:rsidR="00F73688">
              <w:rPr>
                <w:sz w:val="18"/>
                <w:szCs w:val="18"/>
              </w:rPr>
              <w:t>interviene en las dos</w:t>
            </w:r>
            <w:r>
              <w:rPr>
                <w:sz w:val="18"/>
                <w:szCs w:val="18"/>
              </w:rPr>
              <w:t xml:space="preserve"> comisiones </w:t>
            </w:r>
            <w:r w:rsidR="00F73688">
              <w:rPr>
                <w:sz w:val="18"/>
                <w:szCs w:val="18"/>
              </w:rPr>
              <w:t xml:space="preserve"> de</w:t>
            </w:r>
            <w:r>
              <w:rPr>
                <w:sz w:val="18"/>
                <w:szCs w:val="18"/>
              </w:rPr>
              <w:t xml:space="preserve"> enfermer</w:t>
            </w:r>
            <w:r w:rsidR="00F73688">
              <w:rPr>
                <w:sz w:val="18"/>
                <w:szCs w:val="18"/>
              </w:rPr>
              <w:t>ía implicadas en el proceso</w:t>
            </w:r>
            <w:r>
              <w:rPr>
                <w:sz w:val="18"/>
                <w:szCs w:val="18"/>
              </w:rPr>
              <w:t xml:space="preserve">, así como la relación estrecha a llevar a cabo entre la Comisión de Investigación y la de Protocolos, a la hora de la incorporación de las últimas evidencias científicas a la práctica clínica. </w:t>
            </w:r>
            <w:r w:rsidR="00F73688">
              <w:rPr>
                <w:sz w:val="18"/>
                <w:szCs w:val="18"/>
              </w:rPr>
              <w:t>Se cuenta además con la vinculación del Departamento de Enfermería y Podología de la Universidad de Málaga y con el Instituto de Investigación Biomédica de Málaga.</w:t>
            </w:r>
          </w:p>
          <w:p w14:paraId="4A011F6F" w14:textId="54ED7823" w:rsidR="00391CB4" w:rsidRDefault="00F73688" w:rsidP="00391CB4">
            <w:pPr>
              <w:rPr>
                <w:sz w:val="18"/>
                <w:szCs w:val="18"/>
              </w:rPr>
            </w:pPr>
            <w:r>
              <w:rPr>
                <w:sz w:val="18"/>
                <w:szCs w:val="18"/>
              </w:rPr>
              <w:t>La organización prevista, con sus distintas interacciones, se</w:t>
            </w:r>
            <w:r w:rsidR="00391CB4">
              <w:rPr>
                <w:sz w:val="18"/>
                <w:szCs w:val="18"/>
              </w:rPr>
              <w:t xml:space="preserve"> puede consultar con detalle en la Figura 1.</w:t>
            </w:r>
          </w:p>
          <w:p w14:paraId="34360FA2" w14:textId="76FF3E2D" w:rsidR="00391CB4" w:rsidRDefault="00391CB4" w:rsidP="00265068">
            <w:pPr>
              <w:jc w:val="center"/>
              <w:rPr>
                <w:rFonts w:ascii="Calibri" w:eastAsia="Calibri" w:hAnsi="Calibri" w:cs="Times New Roman"/>
                <w:bCs/>
                <w:color w:val="404040" w:themeColor="text1" w:themeTint="BF"/>
                <w:sz w:val="18"/>
                <w:szCs w:val="18"/>
              </w:rPr>
            </w:pPr>
          </w:p>
          <w:p w14:paraId="39014706" w14:textId="2F014F5D" w:rsidR="004B15A9" w:rsidRDefault="004B15A9" w:rsidP="00265068">
            <w:pPr>
              <w:jc w:val="center"/>
              <w:rPr>
                <w:rFonts w:ascii="Calibri" w:eastAsia="Calibri" w:hAnsi="Calibri" w:cs="Times New Roman"/>
                <w:bCs/>
                <w:color w:val="404040" w:themeColor="text1" w:themeTint="BF"/>
                <w:sz w:val="18"/>
                <w:szCs w:val="18"/>
              </w:rPr>
            </w:pPr>
            <w:r w:rsidRPr="004B15A9">
              <w:rPr>
                <w:rFonts w:ascii="Calibri" w:eastAsia="Calibri" w:hAnsi="Calibri" w:cs="Times New Roman"/>
                <w:bCs/>
                <w:noProof/>
                <w:color w:val="404040" w:themeColor="text1" w:themeTint="BF"/>
                <w:sz w:val="18"/>
                <w:szCs w:val="18"/>
                <w:lang w:eastAsia="es-ES"/>
              </w:rPr>
              <w:drawing>
                <wp:inline distT="0" distB="0" distL="0" distR="0" wp14:anchorId="50119F6D" wp14:editId="1FFFAFA0">
                  <wp:extent cx="5398770" cy="46913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4691380"/>
                          </a:xfrm>
                          <a:prstGeom prst="rect">
                            <a:avLst/>
                          </a:prstGeom>
                          <a:noFill/>
                          <a:ln>
                            <a:noFill/>
                          </a:ln>
                        </pic:spPr>
                      </pic:pic>
                    </a:graphicData>
                  </a:graphic>
                </wp:inline>
              </w:drawing>
            </w:r>
          </w:p>
          <w:p w14:paraId="7750A431" w14:textId="6BB7E3AF" w:rsidR="004B15A9" w:rsidRDefault="004B15A9" w:rsidP="00265068">
            <w:pPr>
              <w:jc w:val="center"/>
              <w:rPr>
                <w:rFonts w:ascii="Calibri" w:eastAsia="Calibri" w:hAnsi="Calibri" w:cs="Times New Roman"/>
                <w:bCs/>
                <w:color w:val="404040" w:themeColor="text1" w:themeTint="BF"/>
                <w:sz w:val="18"/>
                <w:szCs w:val="18"/>
              </w:rPr>
            </w:pPr>
          </w:p>
          <w:p w14:paraId="08A6A265" w14:textId="66274259" w:rsidR="004B15A9" w:rsidRPr="00391CB4" w:rsidRDefault="004B15A9" w:rsidP="00265068">
            <w:pPr>
              <w:jc w:val="center"/>
              <w:rPr>
                <w:rFonts w:ascii="Calibri" w:eastAsia="Calibri" w:hAnsi="Calibri" w:cs="Times New Roman"/>
                <w:bCs/>
                <w:color w:val="404040" w:themeColor="text1" w:themeTint="BF"/>
                <w:sz w:val="18"/>
                <w:szCs w:val="18"/>
              </w:rPr>
            </w:pPr>
            <w:r>
              <w:rPr>
                <w:rFonts w:ascii="Calibri" w:eastAsia="Calibri" w:hAnsi="Calibri" w:cs="Times New Roman"/>
                <w:bCs/>
                <w:color w:val="404040" w:themeColor="text1" w:themeTint="BF"/>
                <w:sz w:val="18"/>
                <w:szCs w:val="18"/>
              </w:rPr>
              <w:t>Figura 1. Esquema de funcionamiento de la organización</w:t>
            </w:r>
          </w:p>
          <w:p w14:paraId="1A09006C" w14:textId="1769CFCC" w:rsidR="0082579F" w:rsidRPr="00617FE8" w:rsidRDefault="0082579F" w:rsidP="0082579F">
            <w:pPr>
              <w:spacing w:line="256" w:lineRule="auto"/>
              <w:rPr>
                <w:rFonts w:ascii="Calibri" w:eastAsia="Calibri" w:hAnsi="Calibri" w:cs="Times New Roman"/>
                <w:color w:val="404040" w:themeColor="text1" w:themeTint="BF"/>
              </w:rPr>
            </w:pPr>
            <w:r w:rsidRPr="00617FE8">
              <w:rPr>
                <w:rFonts w:ascii="Calibri" w:eastAsia="Calibri" w:hAnsi="Calibri" w:cs="Times New Roman"/>
                <w:color w:val="404040" w:themeColor="text1" w:themeTint="BF"/>
              </w:rPr>
              <w:t>(Máximo 10.000 caracteres con espacios en total</w:t>
            </w:r>
            <w:r w:rsidR="00F73688">
              <w:rPr>
                <w:rFonts w:ascii="Calibri" w:eastAsia="Calibri" w:hAnsi="Calibri" w:cs="Times New Roman"/>
                <w:color w:val="404040" w:themeColor="text1" w:themeTint="BF"/>
              </w:rPr>
              <w:t>: 8863</w:t>
            </w:r>
            <w:r w:rsidRPr="00617FE8">
              <w:rPr>
                <w:rFonts w:ascii="Calibri" w:eastAsia="Calibri" w:hAnsi="Calibri" w:cs="Times New Roman"/>
                <w:color w:val="404040" w:themeColor="text1" w:themeTint="BF"/>
              </w:rPr>
              <w:t>)</w:t>
            </w:r>
          </w:p>
          <w:p w14:paraId="5763C833" w14:textId="0B88A88C" w:rsidR="0082579F" w:rsidRPr="00617FE8" w:rsidRDefault="0082579F" w:rsidP="00512D8C">
            <w:pPr>
              <w:spacing w:line="360" w:lineRule="auto"/>
              <w:ind w:left="720"/>
              <w:rPr>
                <w:rFonts w:asciiTheme="majorHAnsi" w:hAnsiTheme="majorHAnsi" w:cstheme="majorHAnsi"/>
                <w:b/>
                <w:bCs/>
                <w:color w:val="404040" w:themeColor="text1" w:themeTint="BF"/>
                <w:sz w:val="28"/>
                <w:szCs w:val="28"/>
              </w:rPr>
            </w:pPr>
          </w:p>
        </w:tc>
      </w:tr>
    </w:tbl>
    <w:p w14:paraId="45D165BF" w14:textId="049BE898" w:rsidR="00F573C2" w:rsidRDefault="00F573C2" w:rsidP="001956DC"/>
    <w:p w14:paraId="6C36C10B" w14:textId="0B98BB2F" w:rsidR="00DD0B9D" w:rsidRPr="00DD0B9D" w:rsidRDefault="00DD0B9D" w:rsidP="00DD0B9D"/>
    <w:p w14:paraId="5A471868" w14:textId="77777777" w:rsidR="00DD0B9D" w:rsidRPr="00DD0B9D" w:rsidRDefault="00DD0B9D" w:rsidP="00DD0B9D">
      <w:pPr>
        <w:jc w:val="center"/>
      </w:pPr>
    </w:p>
    <w:sectPr w:rsidR="00DD0B9D" w:rsidRPr="00DD0B9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ED30" w14:textId="77777777" w:rsidR="005F31BB" w:rsidRDefault="005F31BB" w:rsidP="005552A4">
      <w:pPr>
        <w:spacing w:after="0" w:line="240" w:lineRule="auto"/>
      </w:pPr>
      <w:r>
        <w:separator/>
      </w:r>
    </w:p>
  </w:endnote>
  <w:endnote w:type="continuationSeparator" w:id="0">
    <w:p w14:paraId="1C281D96" w14:textId="77777777" w:rsidR="005F31BB" w:rsidRDefault="005F31BB"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lang w:eastAsia="es-ES"/>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977C" w14:textId="77777777" w:rsidR="005F31BB" w:rsidRDefault="005F31BB" w:rsidP="005552A4">
      <w:pPr>
        <w:spacing w:after="0" w:line="240" w:lineRule="auto"/>
      </w:pPr>
      <w:r>
        <w:separator/>
      </w:r>
    </w:p>
  </w:footnote>
  <w:footnote w:type="continuationSeparator" w:id="0">
    <w:p w14:paraId="0B4C3B46" w14:textId="77777777" w:rsidR="005F31BB" w:rsidRDefault="005F31BB"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762A"/>
    <w:multiLevelType w:val="multilevel"/>
    <w:tmpl w:val="D5E424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6F2145F"/>
    <w:multiLevelType w:val="multilevel"/>
    <w:tmpl w:val="742AEE4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37EE5660"/>
    <w:multiLevelType w:val="hybridMultilevel"/>
    <w:tmpl w:val="95B6D9E6"/>
    <w:lvl w:ilvl="0" w:tplc="A81CC77E">
      <w:numFmt w:val="bullet"/>
      <w:lvlText w:val="•"/>
      <w:lvlJc w:val="left"/>
      <w:pPr>
        <w:ind w:left="1068" w:hanging="708"/>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1D691C"/>
    <w:multiLevelType w:val="hybridMultilevel"/>
    <w:tmpl w:val="2C82F3D6"/>
    <w:lvl w:ilvl="0" w:tplc="A81CC77E">
      <w:numFmt w:val="bullet"/>
      <w:lvlText w:val="•"/>
      <w:lvlJc w:val="left"/>
      <w:pPr>
        <w:ind w:left="1068" w:hanging="708"/>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707589"/>
    <w:multiLevelType w:val="multilevel"/>
    <w:tmpl w:val="9EE065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C7511BF"/>
    <w:multiLevelType w:val="hybridMultilevel"/>
    <w:tmpl w:val="24B8F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3B4C2D"/>
    <w:multiLevelType w:val="hybridMultilevel"/>
    <w:tmpl w:val="5DAAC55A"/>
    <w:lvl w:ilvl="0" w:tplc="A81CC77E">
      <w:numFmt w:val="bullet"/>
      <w:lvlText w:val="•"/>
      <w:lvlJc w:val="left"/>
      <w:pPr>
        <w:ind w:left="1068" w:hanging="708"/>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A4DC0"/>
    <w:multiLevelType w:val="hybridMultilevel"/>
    <w:tmpl w:val="21A8A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B00320"/>
    <w:multiLevelType w:val="multilevel"/>
    <w:tmpl w:val="1A326CF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6B450432"/>
    <w:multiLevelType w:val="multilevel"/>
    <w:tmpl w:val="5540EBC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0" w15:restartNumberingAfterBreak="0">
    <w:nsid w:val="72E643B5"/>
    <w:multiLevelType w:val="multilevel"/>
    <w:tmpl w:val="72129830"/>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15:restartNumberingAfterBreak="0">
    <w:nsid w:val="748A204D"/>
    <w:multiLevelType w:val="hybridMultilevel"/>
    <w:tmpl w:val="A0B6E496"/>
    <w:lvl w:ilvl="0" w:tplc="A81CC77E">
      <w:numFmt w:val="bullet"/>
      <w:lvlText w:val="•"/>
      <w:lvlJc w:val="left"/>
      <w:pPr>
        <w:ind w:left="1068" w:hanging="708"/>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386C9C"/>
    <w:multiLevelType w:val="multilevel"/>
    <w:tmpl w:val="B76E7C4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16cid:durableId="738333540">
    <w:abstractNumId w:val="5"/>
  </w:num>
  <w:num w:numId="2" w16cid:durableId="1424719568">
    <w:abstractNumId w:val="7"/>
  </w:num>
  <w:num w:numId="3" w16cid:durableId="1699038544">
    <w:abstractNumId w:val="2"/>
  </w:num>
  <w:num w:numId="4" w16cid:durableId="1886796955">
    <w:abstractNumId w:val="6"/>
  </w:num>
  <w:num w:numId="5" w16cid:durableId="307589484">
    <w:abstractNumId w:val="12"/>
  </w:num>
  <w:num w:numId="6" w16cid:durableId="209805637">
    <w:abstractNumId w:val="3"/>
  </w:num>
  <w:num w:numId="7" w16cid:durableId="2024236153">
    <w:abstractNumId w:val="11"/>
  </w:num>
  <w:num w:numId="8" w16cid:durableId="2123305695">
    <w:abstractNumId w:val="8"/>
  </w:num>
  <w:num w:numId="9" w16cid:durableId="139540569">
    <w:abstractNumId w:val="10"/>
  </w:num>
  <w:num w:numId="10" w16cid:durableId="50229451">
    <w:abstractNumId w:val="9"/>
  </w:num>
  <w:num w:numId="11" w16cid:durableId="187108167">
    <w:abstractNumId w:val="1"/>
  </w:num>
  <w:num w:numId="12" w16cid:durableId="1721326158">
    <w:abstractNumId w:val="0"/>
  </w:num>
  <w:num w:numId="13" w16cid:durableId="899830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C25"/>
    <w:rsid w:val="000B42EE"/>
    <w:rsid w:val="000E2771"/>
    <w:rsid w:val="000F30B6"/>
    <w:rsid w:val="00112DC6"/>
    <w:rsid w:val="00136429"/>
    <w:rsid w:val="00155659"/>
    <w:rsid w:val="001956DC"/>
    <w:rsid w:val="001B481F"/>
    <w:rsid w:val="00265068"/>
    <w:rsid w:val="00277A32"/>
    <w:rsid w:val="002C0359"/>
    <w:rsid w:val="0030056B"/>
    <w:rsid w:val="00305537"/>
    <w:rsid w:val="0036588D"/>
    <w:rsid w:val="00386A7B"/>
    <w:rsid w:val="00391CB4"/>
    <w:rsid w:val="003B314F"/>
    <w:rsid w:val="003C7CF1"/>
    <w:rsid w:val="003F4F04"/>
    <w:rsid w:val="00412CEA"/>
    <w:rsid w:val="00430523"/>
    <w:rsid w:val="00445CFF"/>
    <w:rsid w:val="004603D1"/>
    <w:rsid w:val="00460615"/>
    <w:rsid w:val="00462C71"/>
    <w:rsid w:val="004A2E5A"/>
    <w:rsid w:val="004B15A9"/>
    <w:rsid w:val="00534DC5"/>
    <w:rsid w:val="00536F06"/>
    <w:rsid w:val="005552A4"/>
    <w:rsid w:val="00566458"/>
    <w:rsid w:val="005940F7"/>
    <w:rsid w:val="005B0F0B"/>
    <w:rsid w:val="005B2FAE"/>
    <w:rsid w:val="005F31BB"/>
    <w:rsid w:val="0060664F"/>
    <w:rsid w:val="00617FE8"/>
    <w:rsid w:val="00624DFE"/>
    <w:rsid w:val="006304EB"/>
    <w:rsid w:val="00632670"/>
    <w:rsid w:val="00655F68"/>
    <w:rsid w:val="00681142"/>
    <w:rsid w:val="006A182A"/>
    <w:rsid w:val="006D34E6"/>
    <w:rsid w:val="00704537"/>
    <w:rsid w:val="00717114"/>
    <w:rsid w:val="007217B7"/>
    <w:rsid w:val="00760D67"/>
    <w:rsid w:val="00762D8A"/>
    <w:rsid w:val="00791F6E"/>
    <w:rsid w:val="007E42F7"/>
    <w:rsid w:val="0082579F"/>
    <w:rsid w:val="008426AA"/>
    <w:rsid w:val="00875072"/>
    <w:rsid w:val="008C7B94"/>
    <w:rsid w:val="008E0E7F"/>
    <w:rsid w:val="008E7451"/>
    <w:rsid w:val="008F0F8E"/>
    <w:rsid w:val="009648B7"/>
    <w:rsid w:val="009A7AA0"/>
    <w:rsid w:val="009E6B7C"/>
    <w:rsid w:val="00A271C1"/>
    <w:rsid w:val="00A83BD2"/>
    <w:rsid w:val="00AC3624"/>
    <w:rsid w:val="00B4233E"/>
    <w:rsid w:val="00B60B6E"/>
    <w:rsid w:val="00B74405"/>
    <w:rsid w:val="00BA6179"/>
    <w:rsid w:val="00BC0719"/>
    <w:rsid w:val="00BE7499"/>
    <w:rsid w:val="00C20121"/>
    <w:rsid w:val="00C77A6E"/>
    <w:rsid w:val="00C95BA3"/>
    <w:rsid w:val="00D20DD4"/>
    <w:rsid w:val="00D22E8D"/>
    <w:rsid w:val="00D3778F"/>
    <w:rsid w:val="00D51C3E"/>
    <w:rsid w:val="00D86A7B"/>
    <w:rsid w:val="00DB740B"/>
    <w:rsid w:val="00DD073A"/>
    <w:rsid w:val="00DD0B9D"/>
    <w:rsid w:val="00DD4CC0"/>
    <w:rsid w:val="00DE56C1"/>
    <w:rsid w:val="00E3454B"/>
    <w:rsid w:val="00E4334C"/>
    <w:rsid w:val="00E74966"/>
    <w:rsid w:val="00EB11F4"/>
    <w:rsid w:val="00ED5DCF"/>
    <w:rsid w:val="00ED6EE7"/>
    <w:rsid w:val="00EE476C"/>
    <w:rsid w:val="00F104F0"/>
    <w:rsid w:val="00F15D16"/>
    <w:rsid w:val="00F5683B"/>
    <w:rsid w:val="00F573C2"/>
    <w:rsid w:val="00F73688"/>
    <w:rsid w:val="00F757FC"/>
    <w:rsid w:val="00F87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3F4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F155-1B10-466E-A1A7-B69BA352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2023-03-13T18:22:00Z</dcterms:created>
  <dcterms:modified xsi:type="dcterms:W3CDTF">2023-03-13T18:22:00Z</dcterms:modified>
</cp:coreProperties>
</file>