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4C5BBC11" w:rsidR="00B4233E" w:rsidRDefault="0082579F" w:rsidP="005B2FAE">
      <w:p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noProof/>
          <w:lang w:eastAsia="es-ES"/>
        </w:rPr>
        <w:drawing>
          <wp:inline distT="0" distB="0" distL="0" distR="0" wp14:anchorId="764AC0D9" wp14:editId="47E52917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17FE8" w:rsidRPr="00617FE8" w14:paraId="4F74FD1E" w14:textId="77777777" w:rsidTr="0082579F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8F238AD" w14:textId="4114BD6C" w:rsidR="0082579F" w:rsidRPr="00617FE8" w:rsidRDefault="00F757FC" w:rsidP="0082579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Proceso de implantación de las recomendaciones seleccionada</w:t>
            </w:r>
            <w:r w:rsidR="0082579F"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s</w:t>
            </w:r>
          </w:p>
        </w:tc>
      </w:tr>
      <w:tr w:rsidR="00617FE8" w:rsidRPr="00617FE8" w14:paraId="2A042C5D" w14:textId="77777777" w:rsidTr="00F757FC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4CBDD63F" w14:textId="77777777" w:rsidR="00CF5C52" w:rsidRDefault="00CF5C52" w:rsidP="00CF5C52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A70E27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lastRenderedPageBreak/>
              <w:t>1</w:t>
            </w:r>
            <w:r w:rsidRPr="00A70E27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A70E27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Proceso de identificación de la necesidad de implantar las recomendaciones y situación basal.</w:t>
            </w:r>
          </w:p>
          <w:p w14:paraId="29D109ED" w14:textId="77777777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5376972C" w14:textId="77777777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Una de las líneas estratégicas de la Dirección de Enfermería</w:t>
            </w:r>
            <w:r w:rsidRPr="00781976">
              <w:t xml:space="preserve"> </w:t>
            </w:r>
            <w:r w:rsidRPr="0078197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del Área de Salud VII (Murcia-Este), perteneciente al Servicio Murciano de Salud,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es </w:t>
            </w:r>
            <w:r w:rsidRPr="0078197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el desarrollo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y</w:t>
            </w:r>
            <w:r w:rsidRPr="0078197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potenciación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del </w:t>
            </w:r>
            <w:r w:rsidRPr="0078197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área de Investigación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. En este sentido, se llevó a cabo un análisis mediante la técnica DAFO </w:t>
            </w:r>
            <w:r w:rsidRPr="006D559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para conocer las Debilidades, Amenazas, Fo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rtalezas y Oportunidades respecto a esta área</w:t>
            </w:r>
            <w:r w:rsidRPr="006D559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0792572B" w14:textId="77777777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1426BA7B" w14:textId="7651978B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iCs/>
                <w:color w:val="404040" w:themeColor="text1" w:themeTint="BF"/>
                <w:sz w:val="18"/>
                <w:szCs w:val="18"/>
              </w:rPr>
              <w:t xml:space="preserve">En cuanto a la </w:t>
            </w:r>
            <w:r w:rsidRPr="008F00DB">
              <w:rPr>
                <w:rFonts w:ascii="Calibri" w:eastAsia="Calibri" w:hAnsi="Calibri" w:cs="Times New Roman"/>
                <w:bCs/>
                <w:i/>
                <w:color w:val="404040" w:themeColor="text1" w:themeTint="BF"/>
                <w:sz w:val="18"/>
                <w:szCs w:val="18"/>
              </w:rPr>
              <w:t>situación</w:t>
            </w:r>
            <w:r w:rsidRPr="008F00DB">
              <w:rPr>
                <w:rFonts w:ascii="Calibri" w:eastAsia="Calibri" w:hAnsi="Calibri" w:cs="Times New Roman"/>
                <w:bCs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Pr="008F00DB">
              <w:rPr>
                <w:rFonts w:ascii="Calibri" w:eastAsia="Calibri" w:hAnsi="Calibri" w:cs="Times New Roman"/>
                <w:bCs/>
                <w:i/>
                <w:color w:val="404040" w:themeColor="text1" w:themeTint="BF"/>
                <w:sz w:val="18"/>
                <w:szCs w:val="18"/>
              </w:rPr>
              <w:t>basal</w:t>
            </w:r>
            <w:r>
              <w:rPr>
                <w:rFonts w:ascii="Calibri" w:eastAsia="Calibri" w:hAnsi="Calibri" w:cs="Times New Roman"/>
                <w:bCs/>
                <w:iCs/>
                <w:color w:val="404040" w:themeColor="text1" w:themeTint="BF"/>
                <w:sz w:val="18"/>
                <w:szCs w:val="18"/>
              </w:rPr>
              <w:t>, a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tendiendo a los datos procedentes de la memoria científica, durante los últimos 2 años,</w:t>
            </w:r>
            <w:r w:rsidRPr="008541E5">
              <w:t xml:space="preserve"> </w:t>
            </w:r>
            <w:r w:rsidRPr="008541E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27 enfermeras</w:t>
            </w:r>
            <w:r w:rsidR="00BB4C52">
              <w:t xml:space="preserve">, </w:t>
            </w:r>
            <w:r w:rsidR="00BB4C52" w:rsidRPr="00BB4C5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de </w:t>
            </w:r>
            <w:r w:rsidR="00BB4C5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un total </w:t>
            </w:r>
            <w:r w:rsidR="00BB4C52" w:rsidRPr="00BB4C5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de 530</w:t>
            </w:r>
            <w:r w:rsidR="00BB4C5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han asistido a Jornadas y Congresos, presentando un total de 18 comunicaciones orales y 17 póster.</w:t>
            </w:r>
            <w:r w:rsidR="00BB4C5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En 2021 finalizó un proyecto de investigación, estando inmersos actualmente en otros dos.</w:t>
            </w:r>
          </w:p>
          <w:p w14:paraId="2CCCBA74" w14:textId="77777777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4519CFB4" w14:textId="77777777" w:rsidR="00CF5C52" w:rsidRPr="008F00DB" w:rsidRDefault="00CF5C52" w:rsidP="00CF5C52">
            <w:pPr>
              <w:rPr>
                <w:rFonts w:ascii="Calibri" w:eastAsia="Calibri" w:hAnsi="Calibri" w:cs="Times New Roman"/>
                <w:bCs/>
                <w:iCs/>
                <w:color w:val="404040" w:themeColor="text1" w:themeTint="BF"/>
                <w:sz w:val="18"/>
                <w:szCs w:val="18"/>
              </w:rPr>
            </w:pPr>
            <w:r w:rsidRPr="00C97836">
              <w:rPr>
                <w:rFonts w:ascii="Calibri" w:eastAsia="Calibri" w:hAnsi="Calibri" w:cs="Times New Roman"/>
                <w:bCs/>
                <w:iCs/>
                <w:color w:val="404040" w:themeColor="text1" w:themeTint="BF"/>
                <w:sz w:val="18"/>
                <w:szCs w:val="18"/>
              </w:rPr>
              <w:t>De</w:t>
            </w:r>
            <w:r>
              <w:rPr>
                <w:rFonts w:ascii="Calibri" w:eastAsia="Calibri" w:hAnsi="Calibri" w:cs="Times New Roman"/>
                <w:bCs/>
                <w:iCs/>
                <w:color w:val="404040" w:themeColor="text1" w:themeTint="BF"/>
                <w:sz w:val="18"/>
                <w:szCs w:val="18"/>
              </w:rPr>
              <w:t>sde</w:t>
            </w:r>
            <w:r w:rsidRPr="00C97836">
              <w:rPr>
                <w:rFonts w:ascii="Calibri" w:eastAsia="Calibri" w:hAnsi="Calibri" w:cs="Times New Roman"/>
                <w:bCs/>
                <w:iCs/>
                <w:color w:val="404040" w:themeColor="text1" w:themeTint="BF"/>
                <w:sz w:val="18"/>
                <w:szCs w:val="18"/>
              </w:rPr>
              <w:t xml:space="preserve"> dicho análisis</w:t>
            </w:r>
            <w:r>
              <w:rPr>
                <w:rFonts w:ascii="Calibri" w:eastAsia="Calibri" w:hAnsi="Calibri" w:cs="Times New Roman"/>
                <w:bCs/>
                <w:iCs/>
                <w:color w:val="404040" w:themeColor="text1" w:themeTint="BF"/>
                <w:sz w:val="18"/>
                <w:szCs w:val="18"/>
              </w:rPr>
              <w:t>, y desde la propia situación actual,</w:t>
            </w:r>
            <w:r w:rsidRPr="00C97836">
              <w:rPr>
                <w:rFonts w:ascii="Calibri" w:eastAsia="Calibri" w:hAnsi="Calibri" w:cs="Times New Roman"/>
                <w:bCs/>
                <w:iCs/>
                <w:color w:val="404040" w:themeColor="text1" w:themeTint="BF"/>
                <w:sz w:val="18"/>
                <w:szCs w:val="18"/>
              </w:rPr>
              <w:t xml:space="preserve"> se constata la necesidad de fomenta</w:t>
            </w:r>
            <w:r>
              <w:rPr>
                <w:rFonts w:ascii="Calibri" w:eastAsia="Calibri" w:hAnsi="Calibri" w:cs="Times New Roman"/>
                <w:bCs/>
                <w:iCs/>
                <w:color w:val="404040" w:themeColor="text1" w:themeTint="BF"/>
                <w:sz w:val="18"/>
                <w:szCs w:val="18"/>
              </w:rPr>
              <w:t>r la participación de las enfermeras en líneas y proyectos de investigación, formación continuada relacionada con metodología de investigación, así como la asistencia a Congresos y Jornadas científicas, entre otras actividades, motivo por el que se estima la necesidad de implantar las recomendaciones seleccionadas dentro de este proyecto.</w:t>
            </w:r>
          </w:p>
          <w:p w14:paraId="0A4204E2" w14:textId="77777777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21C2196F" w14:textId="77777777" w:rsidR="00CF5C52" w:rsidRPr="00A70E27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2E568E2B" w14:textId="77777777" w:rsidR="00CF5C52" w:rsidRDefault="00CF5C52" w:rsidP="00CF5C52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A70E27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2.</w:t>
            </w:r>
            <w:r w:rsidRPr="00A70E27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 xml:space="preserve"> Listado, por orden de prioridad, de las recomendaciones de cada eje que la institución está interesada en implantar y evaluar. </w:t>
            </w:r>
          </w:p>
          <w:p w14:paraId="4998CF1A" w14:textId="77777777" w:rsidR="00CF5C52" w:rsidRDefault="00CF5C52" w:rsidP="00CF5C52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14:paraId="064DFD3A" w14:textId="77777777" w:rsidR="00CF5C52" w:rsidRPr="00911EE7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Crear una base de datos de enfermeras interesadas en investigar, con sus líneas de investigación o áreas de interés. </w:t>
            </w:r>
          </w:p>
          <w:p w14:paraId="78F8594F" w14:textId="77777777" w:rsidR="00CF5C52" w:rsidRPr="00911EE7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Potenciar figuras de enfermeras consultoras y referentes. </w:t>
            </w:r>
          </w:p>
          <w:p w14:paraId="6A87113A" w14:textId="77777777" w:rsidR="00CF5C52" w:rsidRPr="00911EE7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Identificar referentes de investigación y/o innovación en cada unidad asistencial y a su vez crear una red de coordinación entre todos los/as referentes y grupos de un mismo centro, para fomentar proyectos de investigación conjuntos. Todo ello liderado por el responsable de investigación de cada centro, y en coordinación (si procede) con los Institutos de Investigación Sanitaria. </w:t>
            </w:r>
          </w:p>
          <w:p w14:paraId="5AACBCB4" w14:textId="77777777" w:rsidR="00CF5C52" w:rsidRPr="00A5707C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Mejorar la difusión de los proyectos existentes y un proceso de captación más elaborado y facilitador para atraer a enfermeras interesadas en participar en grupos de investigación multidisciplinares. </w:t>
            </w:r>
          </w:p>
          <w:p w14:paraId="2FD02F0A" w14:textId="77777777" w:rsidR="00CF5C52" w:rsidRPr="00911EE7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Organizar clubs de lectura crítica para discutir y reflexionar sobre diferentes artículos de investigación. </w:t>
            </w:r>
          </w:p>
          <w:p w14:paraId="60A970D1" w14:textId="77777777" w:rsidR="00CF5C52" w:rsidRPr="00911EE7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Aumentar la formación continuada en metodología de investigación de forma multidisciplinar. </w:t>
            </w:r>
          </w:p>
          <w:p w14:paraId="5F59E820" w14:textId="77777777" w:rsidR="00CF5C52" w:rsidRPr="00A5707C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Establecer y favorecer o facilitar el acceso a un archivo de recursos disponibles y formación para los que quieran investigar. </w:t>
            </w:r>
          </w:p>
          <w:p w14:paraId="172B0A8A" w14:textId="77777777" w:rsidR="00CF5C52" w:rsidRPr="00911EE7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Crear foros de encuentro que permitan aumentar la conexión y colaboración entre líderes o referentes de proyectos de investigación concretos de las Organizaciones. </w:t>
            </w:r>
          </w:p>
          <w:p w14:paraId="69400DB9" w14:textId="77777777" w:rsidR="00CF5C52" w:rsidRPr="00911EE7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Proporcionar Feedback/difusión de los resultados de los proyectos de investigación. </w:t>
            </w:r>
          </w:p>
          <w:p w14:paraId="595B57E2" w14:textId="77777777" w:rsidR="00CF5C52" w:rsidRPr="00911EE7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Compartir la información de lo que se hace en los distintos servicios a través de sesiones clínicas y/o sesiones de unidad. </w:t>
            </w:r>
          </w:p>
          <w:p w14:paraId="2047659A" w14:textId="77777777" w:rsidR="00CF5C52" w:rsidRPr="00911EE7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Conocer qué líneas de investigación existen y qué investigadores/as para fomentar colaboraciones. </w:t>
            </w:r>
          </w:p>
          <w:p w14:paraId="6E117905" w14:textId="77777777" w:rsidR="00CF5C52" w:rsidRPr="00911EE7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Crear un repositorio web, donde poder consultar los proyectos de investigación en los que se está trabajando o se ha trabajado en la Organización. </w:t>
            </w:r>
          </w:p>
          <w:p w14:paraId="2F5C97DF" w14:textId="77777777" w:rsidR="00CF5C52" w:rsidRPr="00A5707C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Difundir lo que se hace y fomentar el trabajo en red. </w:t>
            </w:r>
          </w:p>
          <w:p w14:paraId="0E3B24F3" w14:textId="77777777" w:rsidR="00CF5C52" w:rsidRPr="00911EE7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Establecer foros de interrelación con investigadores/as de otras disciplinas de la salud donde surjan ideas acerca de nuevas investigaciones conjuntas. A su vez, es necesario que esas profesionales pertenezcan a diferentes ámbitos (Área asistencial, docente, gestora, Institutos de Investigación...).</w:t>
            </w:r>
          </w:p>
          <w:p w14:paraId="0E053714" w14:textId="77777777" w:rsidR="00CF5C52" w:rsidRPr="00A5707C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Favorecer la inclusión de enfermeras en los grupos/equipos de investigación multidisciplinares. </w:t>
            </w:r>
          </w:p>
          <w:p w14:paraId="791EA19A" w14:textId="77777777" w:rsidR="00CF5C52" w:rsidRPr="00911EE7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Facilitar la asistencia a foros científicos (Jornadas, congresos...) así como la formación continuada. </w:t>
            </w:r>
          </w:p>
          <w:p w14:paraId="272A78A6" w14:textId="77777777" w:rsidR="00CF5C52" w:rsidRPr="00A5707C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Potenciar la investigación/innovación en las figuras de enfermera de práctica avanzada (EPA). </w:t>
            </w:r>
          </w:p>
          <w:p w14:paraId="23633AC5" w14:textId="77777777" w:rsidR="00CF5C52" w:rsidRPr="00911EE7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Abrir líneas de investigación lideradas por estas figuras. Grupos de trabajo nacionales. </w:t>
            </w:r>
          </w:p>
          <w:p w14:paraId="30D24F77" w14:textId="77777777" w:rsidR="00CF5C52" w:rsidRPr="00A5707C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lastRenderedPageBreak/>
              <w:t xml:space="preserve">Fomentar la investigación e innovación de los mandos intermedios. Para ello sería importante que, para acceder a dichos puestos, se tuvieran en cuenta los méritos relacionados con la formación y la investigación. </w:t>
            </w:r>
          </w:p>
          <w:p w14:paraId="0F3F4F0A" w14:textId="77777777" w:rsidR="00CF5C52" w:rsidRPr="00911EE7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Identificar necesidades de investigación en la evaluación de la práctica asistencial. </w:t>
            </w:r>
          </w:p>
          <w:p w14:paraId="0AC7FF10" w14:textId="77777777" w:rsidR="00CF5C52" w:rsidRPr="00911EE7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Impulsar la traslación a la práctica clínica de los resultados de la investigación e innovación. </w:t>
            </w:r>
          </w:p>
          <w:p w14:paraId="3590C6C7" w14:textId="77777777" w:rsidR="00CF5C52" w:rsidRPr="00911EE7" w:rsidRDefault="00CF5C52" w:rsidP="00CF5C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911EE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Vincular la práctica clínica y la investigación.</w:t>
            </w:r>
          </w:p>
          <w:p w14:paraId="0E26A274" w14:textId="77777777" w:rsidR="00CF5C52" w:rsidRPr="007A0374" w:rsidRDefault="00CF5C52" w:rsidP="00CF5C52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14:paraId="7B32EDAA" w14:textId="77777777" w:rsidR="00CF5C52" w:rsidRDefault="00CF5C52" w:rsidP="00CF5C52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14:paraId="6BD4956E" w14:textId="77777777" w:rsidR="00CF5C52" w:rsidRDefault="00CF5C52" w:rsidP="00CF5C52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A70E27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3</w:t>
            </w:r>
            <w:r w:rsidRPr="00A70E27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 xml:space="preserve">. Descripción del proceso de implantación (estrategia, actividades, evaluación y recursos). </w:t>
            </w:r>
          </w:p>
          <w:p w14:paraId="557594C5" w14:textId="77777777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1AD9347E" w14:textId="77777777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Para llevar a cabo el proceso de implantación de las recomendaciones seleccionadas</w:t>
            </w:r>
            <w:r w:rsidRPr="00DA76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p</w:t>
            </w:r>
            <w:r w:rsidRPr="00C204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lanteamos una </w:t>
            </w:r>
            <w:r w:rsidRPr="0022391A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estrategia</w:t>
            </w:r>
            <w:r w:rsidRPr="00C204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global gestora que permita potenciar las fortalezas de la institución y las oportunidades externas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</w:t>
            </w:r>
            <w:r w:rsidRPr="00DA76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19BF80F8" w14:textId="77777777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62C37099" w14:textId="77777777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DD6CB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Nos planteamos como meta desarrollar a medio plazo un mayor número de proyectos de investigación, con el fin de aumentar el conocimiento disciplinar y mejorar la práctica basada en evidencia científica.</w:t>
            </w:r>
          </w:p>
          <w:p w14:paraId="7EC39ADC" w14:textId="77777777" w:rsidR="00CF5C52" w:rsidRPr="00A5707C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Procederemos inicialmente a la presentación </w:t>
            </w:r>
            <w:bookmarkStart w:id="0" w:name="_Hlk128946722"/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del proyecto </w:t>
            </w:r>
            <w:bookmarkEnd w:id="0"/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 nivel institucional, al Comité de Investigación del Área de Salud y</w:t>
            </w:r>
            <w:r w:rsidRPr="00AC55B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 los responsables.</w:t>
            </w:r>
          </w:p>
          <w:p w14:paraId="3118DEBC" w14:textId="77777777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2225B308" w14:textId="77777777" w:rsidR="00CF5C52" w:rsidRPr="00E93808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Las </w:t>
            </w:r>
            <w:r w:rsidRPr="00274467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actividades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que se desplegarán para llevar a cabo la implantación de las recomendaciones son las siguientes:</w:t>
            </w:r>
          </w:p>
          <w:p w14:paraId="1B52007E" w14:textId="77777777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Recopilar información desde las Supervisiones de Unidad y Responsables de A. Primaria. Crear un archivo electrónico, organizando y clasificando la información.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Difundir las convocatorias de plazas de profesores asociados. Estimular la presentación de solicitudes a dichas convocatorias.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Crear un listado de profesores asociados. Establecer un grupo de contacto de profesores asociados.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Organizar reuniones periódicas con los profesores asociados.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Distribuir convocatorias de proyectos de investigación a través de correo electrónico, Intranet del Área y tablones de anuncios.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Crear listas de distribución en RRSS.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Realizar videoconferencias durante la jornada laboral, exponiendo brevemente los proyectos de investigación y favoreciendo la captación de participantes.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Impartir formación específica sobre lectura crítica de artículos científicos.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Identificar referentes en lectura crítica.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Crear convocatorias para grupos de lectura crítica.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Impartir formación específica sobre metodología de investigación.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Implicar a los profesores asociados en la formación en metodología de investigación.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Publicar en la intranet un archivo accesible con los recursos en investigación.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Fomentar el uso de la Biblioteca Virtual de MurciaSalud.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Distribuir los resultados de proyectos de investigación a través de correo electrónico, Intranet del Área, listas de distribución de RRSS y tablones de anuncios.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Crear un repositorio en la intranet con las sesiones clínicas realizadas en los diferentes Servicios y Unidades.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Confeccionar un archivo electrónico clasificando las líneas de investigación activas, incluyendo a los participantes en ellas.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Organizar foros de encuentro periódicos, compartiendo los proyectos de investigación en desarrollo.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F2781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Crear un foro para establecer sinergias entre todos los ámbitos: académico, asistencial e investigación (jornadas de investigación conjunta, defensas de los TFG o TFM, asistencia de los estudiantes a las sesiones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F2781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clínicas enfermeras…)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.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Crear un repositorio en la intranet conteniendo los proyectos de investigación activos y finalizados.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Crear boletines informativos trimestrales.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Distribuir los boletines a través de correo electrónico, Intranet del Área, listas de distribución de RRSS y tablones de anuncios.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Organizar reuniones con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grupos de investigación vinculados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con el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Instituto Murciano de Investigación Biosanitaria (IMIB)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, Universidad de Murcia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y con la Fundación para la Formación e Investigación Sanitarias de la Región de Murcia (FFIS).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Gestionar la inclusión de enfermeras en proyectos de investigación multidisciplinares.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Coordinar la participación de enfermeras en esos proyectos.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Establecer criterios para facilitar la asistencia a Jornadas, Congresos y formación relacionada con el puesto de trabajo.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Impulsar e implantar la figura de enfermera de práctica avanzada.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Iniciar líneas de investigación desde las consultas de Enfermedad Intestinal Inflamatoria, Heridas Crónicas y Estoma.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Organizar formación específica en materia de investigación para mandos intermedios.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Iniciar líneas de investigación relacionadas con la gestión sanitaria.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Monitorizar indicadores de cuidados de enfermería.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Identificar oportunidades de mejora.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Actualización de circuitos, protocolos, procedimientos y vías clínicas.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Fomentar la transferencia de resultados. Implantar asistencialmente programas derivados de los resultados obtenidos desde la evidencia científica. </w:t>
            </w:r>
            <w:r w:rsidRPr="00E93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Adherirse al proyecto “Sumamos Excelencia” para implantación de recomendaciones en el manejo del dolor y la incontinencia urinaria.</w:t>
            </w:r>
          </w:p>
          <w:p w14:paraId="33E9994C" w14:textId="77777777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23AAC2F1" w14:textId="77777777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Se realizará una </w:t>
            </w:r>
            <w:r w:rsidRPr="00274467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evaluación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inicial de la implantación de las recomendaciones seleccionadas utilizando los indicadores de proceso y resultado correspondientes, repitiendo la evaluación al año y a los 4 años, siguiendo las indicaciones marcadas por el proyecto.</w:t>
            </w:r>
          </w:p>
          <w:p w14:paraId="69055238" w14:textId="77777777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0C3010CE" w14:textId="77777777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Respecto a los </w:t>
            </w:r>
            <w:r w:rsidRPr="00274467">
              <w:rPr>
                <w:rFonts w:ascii="Calibri" w:eastAsia="Calibri" w:hAnsi="Calibri" w:cs="Times New Roman"/>
                <w:bCs/>
                <w:i/>
                <w:iCs/>
                <w:color w:val="404040" w:themeColor="text1" w:themeTint="BF"/>
                <w:sz w:val="18"/>
                <w:szCs w:val="18"/>
              </w:rPr>
              <w:t>recursos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disponibles, disponemos de la Unidad Técnica de Comunicación, del Servicio de Informática, </w:t>
            </w:r>
            <w:r w:rsidRPr="00E5202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Servicio de Documentación y Biblioteca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del Área de Salud, así como de la Biblioteca Virtual y el banco de preguntas y respuestas basadas en evidencia científica (Preevid) de MurciaSalud.</w:t>
            </w:r>
          </w:p>
          <w:p w14:paraId="2B0155E0" w14:textId="77777777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6D483E33" w14:textId="77777777" w:rsidR="00CF5C52" w:rsidRPr="00A70E27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078723D7" w14:textId="77777777" w:rsidR="00CF5C52" w:rsidRDefault="00CF5C52" w:rsidP="00CF5C52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A70E27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4.</w:t>
            </w:r>
            <w:r w:rsidRPr="00A70E27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 xml:space="preserve"> Responsable, equipo o estructura constituida para acomete</w:t>
            </w: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r la propuesta y su interacción.</w:t>
            </w:r>
          </w:p>
          <w:p w14:paraId="6676A594" w14:textId="77777777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70BAFAA0" w14:textId="77777777" w:rsidR="00CF5C52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Director de Enfermería, Subdirector de Enfermería de Cuidados, Subdirectora de Enfermería de A. Primaria y Continuidad de Cuidados, Supervisores/as de Área de Calidad y Formación, Docencia e Investigación, Gestión de Cuidados y Sistemas de Información, RRHH y RRMM, Supervisores de Unidad y Responsables de Enfermería de A. Primaria.</w:t>
            </w:r>
          </w:p>
          <w:p w14:paraId="502DC07D" w14:textId="77777777" w:rsidR="00CF5C52" w:rsidRPr="00A70E27" w:rsidRDefault="00CF5C52" w:rsidP="00CF5C52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063E58B3" w14:textId="77777777" w:rsidR="00CF5C52" w:rsidRDefault="00CF5C52" w:rsidP="00CF5C52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A70E27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5</w:t>
            </w:r>
            <w:r w:rsidRPr="00A70E27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 xml:space="preserve">. Cronograma de la implantación de las recomendaciones, con actividades a realizar y responsables en cada etapa de la implantación. </w:t>
            </w:r>
          </w:p>
          <w:p w14:paraId="20DD83FA" w14:textId="77777777" w:rsidR="00CF5C52" w:rsidRDefault="00CF5C52" w:rsidP="00CF5C52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14:paraId="6D1CC318" w14:textId="77777777" w:rsidR="00CF5C52" w:rsidRDefault="00CF5C52" w:rsidP="00CF5C52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tbl>
            <w:tblPr>
              <w:tblStyle w:val="Tablaconcuadrcula"/>
              <w:tblW w:w="10798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159"/>
              <w:gridCol w:w="2160"/>
              <w:gridCol w:w="2160"/>
              <w:gridCol w:w="2160"/>
            </w:tblGrid>
            <w:tr w:rsidR="00282219" w:rsidRPr="00F10818" w14:paraId="7CC59E85" w14:textId="77777777" w:rsidTr="00282219">
              <w:tc>
                <w:tcPr>
                  <w:tcW w:w="2159" w:type="dxa"/>
                </w:tcPr>
                <w:p w14:paraId="03754F2E" w14:textId="77777777" w:rsidR="00282219" w:rsidRPr="00F10818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bookmarkStart w:id="1" w:name="_Hlk129117282"/>
                  <w:r w:rsidRPr="00F10818"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RECOMENDACIONES</w:t>
                  </w:r>
                </w:p>
              </w:tc>
              <w:tc>
                <w:tcPr>
                  <w:tcW w:w="2159" w:type="dxa"/>
                </w:tcPr>
                <w:p w14:paraId="466B5B12" w14:textId="77777777" w:rsidR="00282219" w:rsidRPr="00F10818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F10818"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ACTIVIDADES</w:t>
                  </w:r>
                </w:p>
              </w:tc>
              <w:tc>
                <w:tcPr>
                  <w:tcW w:w="2160" w:type="dxa"/>
                </w:tcPr>
                <w:p w14:paraId="1F91A6B2" w14:textId="77777777" w:rsidR="00282219" w:rsidRPr="00F10818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F10818"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RESPONSABLES</w:t>
                  </w:r>
                </w:p>
              </w:tc>
              <w:tc>
                <w:tcPr>
                  <w:tcW w:w="2160" w:type="dxa"/>
                </w:tcPr>
                <w:p w14:paraId="52FD2FED" w14:textId="43B5EF39" w:rsidR="00282219" w:rsidRPr="00F10818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F10818"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2160" w:type="dxa"/>
                </w:tcPr>
                <w:p w14:paraId="31B4B662" w14:textId="00EB03CB" w:rsidR="00282219" w:rsidRPr="00F10818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F10818"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FECHA</w:t>
                  </w:r>
                </w:p>
              </w:tc>
            </w:tr>
            <w:tr w:rsidR="00282219" w14:paraId="1FBC3B7A" w14:textId="77777777" w:rsidTr="00282219">
              <w:tc>
                <w:tcPr>
                  <w:tcW w:w="2159" w:type="dxa"/>
                </w:tcPr>
                <w:p w14:paraId="445F5B1D" w14:textId="77777777" w:rsidR="00282219" w:rsidRPr="00783998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78399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Crear una base de datos de enfermeras interesadas en investigar, con sus líneas de investigación o áreas de interés.</w:t>
                  </w:r>
                </w:p>
              </w:tc>
              <w:tc>
                <w:tcPr>
                  <w:tcW w:w="2159" w:type="dxa"/>
                </w:tcPr>
                <w:p w14:paraId="193738AF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Recopilar información desde las Supervisiones de Unidad y Responsables de A. Primaria.</w:t>
                  </w:r>
                </w:p>
                <w:p w14:paraId="7686608C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1C32C5EF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Crear un archivo electrónico, organizando y clasificando la información.</w:t>
                  </w:r>
                </w:p>
              </w:tc>
              <w:tc>
                <w:tcPr>
                  <w:tcW w:w="2160" w:type="dxa"/>
                </w:tcPr>
                <w:p w14:paraId="62E02B07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Área de Docencia e Investigación. </w:t>
                  </w:r>
                </w:p>
                <w:p w14:paraId="4CDF9724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38B613A0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Sistemas de Información.</w:t>
                  </w:r>
                </w:p>
                <w:p w14:paraId="3C1BA8E8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C2BA693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Calidad y Formación.</w:t>
                  </w:r>
                </w:p>
                <w:p w14:paraId="01A20429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3F86598F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Supervisores de Unidad.</w:t>
                  </w:r>
                </w:p>
                <w:p w14:paraId="2026936D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2F27EB0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Responsables de Enfermería de A. Primaria.</w:t>
                  </w:r>
                </w:p>
              </w:tc>
              <w:tc>
                <w:tcPr>
                  <w:tcW w:w="2160" w:type="dxa"/>
                </w:tcPr>
                <w:p w14:paraId="52188146" w14:textId="35A74063" w:rsidR="00282219" w:rsidRPr="00954AE5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2º T 2023</w:t>
                  </w:r>
                </w:p>
              </w:tc>
              <w:tc>
                <w:tcPr>
                  <w:tcW w:w="2160" w:type="dxa"/>
                </w:tcPr>
                <w:p w14:paraId="2BF2E15B" w14:textId="5624853E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82219" w14:paraId="2EDFB217" w14:textId="77777777" w:rsidTr="00282219">
              <w:tc>
                <w:tcPr>
                  <w:tcW w:w="2159" w:type="dxa"/>
                </w:tcPr>
                <w:p w14:paraId="13427284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78399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Potenciar figuras de enfermeras consultoras y referentes.</w:t>
                  </w:r>
                </w:p>
                <w:p w14:paraId="772FF875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65B9DCA" w14:textId="77777777" w:rsidR="00282219" w:rsidRPr="00783998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47781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Identificar referentes de investigación y/o innovación en cada unidad asistencial y crear una red de coordinación entre todos los/as referentes y grupos de un mismo centr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o</w:t>
                  </w:r>
                  <w:r w:rsidRPr="0047781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59" w:type="dxa"/>
                </w:tcPr>
                <w:p w14:paraId="03C0F679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Difundir las convocatorias de plazas de profesores asociados.</w:t>
                  </w:r>
                </w:p>
                <w:p w14:paraId="1CBC3A41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7C138F39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Estimular la presentación de solicitudes a dichas convocatorias.</w:t>
                  </w:r>
                </w:p>
                <w:p w14:paraId="156A8614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32A67739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Crear un listado de profesores asociados.</w:t>
                  </w:r>
                </w:p>
                <w:p w14:paraId="373883E6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E28DF41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Establecer un grupo de contacto de profesores asociados.</w:t>
                  </w:r>
                </w:p>
                <w:p w14:paraId="51098C24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76521E83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lastRenderedPageBreak/>
                    <w:t>Organizar reuniones periódicas con los profesores asociados.</w:t>
                  </w:r>
                </w:p>
              </w:tc>
              <w:tc>
                <w:tcPr>
                  <w:tcW w:w="2160" w:type="dxa"/>
                </w:tcPr>
                <w:p w14:paraId="476974D6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lastRenderedPageBreak/>
                    <w:t>Director y Subdirectores de Enfermería.</w:t>
                  </w:r>
                </w:p>
                <w:p w14:paraId="33B4094A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1CD523AB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Docencia e Investigación.</w:t>
                  </w:r>
                </w:p>
                <w:p w14:paraId="37C60B0C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43A2A07A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Supervisores de Unidad.</w:t>
                  </w:r>
                </w:p>
                <w:p w14:paraId="50F34F59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2137D9CF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Responsables de Enfermería de A. Primaria.</w:t>
                  </w:r>
                </w:p>
              </w:tc>
              <w:tc>
                <w:tcPr>
                  <w:tcW w:w="2160" w:type="dxa"/>
                </w:tcPr>
                <w:p w14:paraId="38CD2082" w14:textId="6C5DF845" w:rsidR="00282219" w:rsidRPr="00954AE5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FE57C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2º T 2023</w:t>
                  </w:r>
                </w:p>
              </w:tc>
              <w:tc>
                <w:tcPr>
                  <w:tcW w:w="2160" w:type="dxa"/>
                </w:tcPr>
                <w:p w14:paraId="76AB90D2" w14:textId="11244DE6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82219" w14:paraId="6A5CD9FB" w14:textId="77777777" w:rsidTr="00282219">
              <w:tc>
                <w:tcPr>
                  <w:tcW w:w="2159" w:type="dxa"/>
                </w:tcPr>
                <w:p w14:paraId="56BFE21D" w14:textId="77777777" w:rsidR="00282219" w:rsidRPr="00783998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Mejorar la difusión de los proyectos existentes y un proceso de captación más elaborado y facilitador. </w:t>
                  </w:r>
                </w:p>
              </w:tc>
              <w:tc>
                <w:tcPr>
                  <w:tcW w:w="2159" w:type="dxa"/>
                </w:tcPr>
                <w:p w14:paraId="1A52507F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Distribuir convocatorias de proyectos de investigación a través de correo electrónico, Intranet del Área y tablones de anuncios.</w:t>
                  </w:r>
                </w:p>
                <w:p w14:paraId="62E6E96F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4F96243C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Crear listas de distribución en RRSS.</w:t>
                  </w:r>
                </w:p>
                <w:p w14:paraId="4DF8F4A0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62CD8E5E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Realizar videoconferencias durante la jornada laboral, exponiendo brevemente los proyectos de investigación y favoreciendo la captación de participantes.</w:t>
                  </w:r>
                </w:p>
              </w:tc>
              <w:tc>
                <w:tcPr>
                  <w:tcW w:w="2160" w:type="dxa"/>
                </w:tcPr>
                <w:p w14:paraId="02DB89BD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Docencia e Investigación.</w:t>
                  </w:r>
                </w:p>
                <w:p w14:paraId="3B3FC61E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18A0380E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Calidad y Formación.</w:t>
                  </w:r>
                </w:p>
                <w:p w14:paraId="559342AF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2D8A4E4C" w14:textId="6C0A54E4" w:rsidR="00282219" w:rsidRPr="00954AE5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FE57C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2º T 2023</w:t>
                  </w:r>
                </w:p>
              </w:tc>
              <w:tc>
                <w:tcPr>
                  <w:tcW w:w="2160" w:type="dxa"/>
                </w:tcPr>
                <w:p w14:paraId="0D720600" w14:textId="3064FEA8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82219" w14:paraId="70701F76" w14:textId="77777777" w:rsidTr="00282219">
              <w:tc>
                <w:tcPr>
                  <w:tcW w:w="2159" w:type="dxa"/>
                </w:tcPr>
                <w:p w14:paraId="072363EE" w14:textId="77777777" w:rsidR="00282219" w:rsidRPr="00CB52F0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Organizar clubs de lectura crítica. </w:t>
                  </w:r>
                </w:p>
              </w:tc>
              <w:tc>
                <w:tcPr>
                  <w:tcW w:w="2159" w:type="dxa"/>
                </w:tcPr>
                <w:p w14:paraId="73BD4A98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Impartir formación específica sobre lectura crítica de artículos científicos.</w:t>
                  </w:r>
                </w:p>
                <w:p w14:paraId="3FE39EB5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1A4C5867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Identificar referentes en lectura crítica.</w:t>
                  </w:r>
                </w:p>
                <w:p w14:paraId="7DE8284D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4E5F1DB7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Crear convocatorias para grupos de lectura crítica.</w:t>
                  </w:r>
                </w:p>
              </w:tc>
              <w:tc>
                <w:tcPr>
                  <w:tcW w:w="2160" w:type="dxa"/>
                </w:tcPr>
                <w:p w14:paraId="3203C62E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Calidad y Formación.</w:t>
                  </w:r>
                </w:p>
                <w:p w14:paraId="55D69E3D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16C666E4" w14:textId="6367A956" w:rsidR="00282219" w:rsidRPr="00954AE5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FE57C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2º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-3º</w:t>
                  </w:r>
                  <w:r w:rsidRPr="00FE57C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 T 2023</w:t>
                  </w:r>
                </w:p>
              </w:tc>
              <w:tc>
                <w:tcPr>
                  <w:tcW w:w="2160" w:type="dxa"/>
                </w:tcPr>
                <w:p w14:paraId="25816799" w14:textId="2DEA763A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82219" w14:paraId="51F756BA" w14:textId="77777777" w:rsidTr="00282219">
              <w:tc>
                <w:tcPr>
                  <w:tcW w:w="2159" w:type="dxa"/>
                </w:tcPr>
                <w:p w14:paraId="1873EBA1" w14:textId="77777777" w:rsidR="00282219" w:rsidRPr="00CB52F0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Aumentar la formación continuada en metodología de investigación de forma multidisciplinar. </w:t>
                  </w:r>
                </w:p>
              </w:tc>
              <w:tc>
                <w:tcPr>
                  <w:tcW w:w="2159" w:type="dxa"/>
                </w:tcPr>
                <w:p w14:paraId="32233969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Impartir formación específica sobre metodología de investigación.</w:t>
                  </w:r>
                </w:p>
                <w:p w14:paraId="0C5E3449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15087E68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Implicar a los profesores asociados en la formación en metodología de investigación.</w:t>
                  </w:r>
                </w:p>
              </w:tc>
              <w:tc>
                <w:tcPr>
                  <w:tcW w:w="2160" w:type="dxa"/>
                </w:tcPr>
                <w:p w14:paraId="01E623DE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Calidad y Formación.</w:t>
                  </w:r>
                </w:p>
                <w:p w14:paraId="74FAA515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47AC5C4" w14:textId="1AD8217C" w:rsidR="00282219" w:rsidRPr="00954AE5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60" w:type="dxa"/>
                </w:tcPr>
                <w:p w14:paraId="4E9C01A1" w14:textId="5465E7CF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82219" w14:paraId="37A65339" w14:textId="77777777" w:rsidTr="00282219">
              <w:tc>
                <w:tcPr>
                  <w:tcW w:w="2159" w:type="dxa"/>
                </w:tcPr>
                <w:p w14:paraId="18C7043A" w14:textId="77777777" w:rsidR="00282219" w:rsidRPr="00CB52F0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Establecer y facilitar el acceso a un archivo de recursos disponibles y formación para los que quieran investigar. </w:t>
                  </w:r>
                </w:p>
              </w:tc>
              <w:tc>
                <w:tcPr>
                  <w:tcW w:w="2159" w:type="dxa"/>
                </w:tcPr>
                <w:p w14:paraId="25F9D2B4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Publicar en la intranet un archivo accesible con los recursos en investigación.</w:t>
                  </w:r>
                </w:p>
                <w:p w14:paraId="7C150E9E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4EDEAB53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797406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Fomentar el uso de la Biblioteca Virtual de MurciaSalud.</w:t>
                  </w:r>
                </w:p>
              </w:tc>
              <w:tc>
                <w:tcPr>
                  <w:tcW w:w="2160" w:type="dxa"/>
                </w:tcPr>
                <w:p w14:paraId="4F5F6698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Sistemas de Información.</w:t>
                  </w:r>
                </w:p>
                <w:p w14:paraId="19EFAE16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1AF645CE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Calidad y Formación.</w:t>
                  </w:r>
                </w:p>
                <w:p w14:paraId="74E0B212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432EFCF5" w14:textId="70895255" w:rsidR="00282219" w:rsidRPr="00954AE5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FE57C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2º T 2023</w:t>
                  </w:r>
                </w:p>
              </w:tc>
              <w:tc>
                <w:tcPr>
                  <w:tcW w:w="2160" w:type="dxa"/>
                </w:tcPr>
                <w:p w14:paraId="6B1C4C41" w14:textId="5501DAAD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82219" w14:paraId="559C11DE" w14:textId="77777777" w:rsidTr="00282219">
              <w:tc>
                <w:tcPr>
                  <w:tcW w:w="2159" w:type="dxa"/>
                </w:tcPr>
                <w:p w14:paraId="02D3840F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Crear foros de encuentro.</w:t>
                  </w:r>
                </w:p>
                <w:p w14:paraId="077DD878" w14:textId="77777777" w:rsidR="00282219" w:rsidRPr="00911EE7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</w:p>
                <w:p w14:paraId="01E61CBC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Proporcionar difusión de los resultados de los proyectos de investigación.</w:t>
                  </w:r>
                </w:p>
                <w:p w14:paraId="73E9180C" w14:textId="77777777" w:rsidR="00282219" w:rsidRPr="00911EE7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</w:p>
                <w:p w14:paraId="504C8B69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Compartir la información de lo que se hace en los distintos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S</w:t>
                  </w: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ervicios a través de sesiones clínicas y/o sesiones de unidad.</w:t>
                  </w:r>
                </w:p>
                <w:p w14:paraId="238D192E" w14:textId="77777777" w:rsidR="00282219" w:rsidRPr="00911EE7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</w:p>
                <w:p w14:paraId="770BD1F9" w14:textId="77777777" w:rsidR="00282219" w:rsidRPr="00FA140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Conocer qué líneas de investigación existen y </w:t>
                  </w: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lastRenderedPageBreak/>
                    <w:t xml:space="preserve">qué investigadores/as para fomentar colaboraciones. </w:t>
                  </w:r>
                </w:p>
              </w:tc>
              <w:tc>
                <w:tcPr>
                  <w:tcW w:w="2159" w:type="dxa"/>
                </w:tcPr>
                <w:p w14:paraId="1B833C9D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lastRenderedPageBreak/>
                    <w:t>Distribuir los resultados de proyectos de investigación a través de correo electrónico, Intranet del Área, listas de distribución de RRSS y tablones de anuncios.</w:t>
                  </w:r>
                </w:p>
                <w:p w14:paraId="14B90FF4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1AA5D0F8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Crear un repositorio en la intranet con las sesiones clínicas realizadas en los diferentes Servicios y Unidades.</w:t>
                  </w:r>
                </w:p>
                <w:p w14:paraId="664E7EF3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6C692DB4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lastRenderedPageBreak/>
                    <w:t>Confeccionar un archivo electrónico clasificando las líneas de investigación activas, incluyendo a los participantes en ellas.</w:t>
                  </w:r>
                </w:p>
                <w:p w14:paraId="1A0B5525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3FCE1E92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Organizar foros de encuentro periódicos, compartiendo los proyectos de investigación en desarrollo.</w:t>
                  </w:r>
                </w:p>
                <w:p w14:paraId="61778E5E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F27819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Crear un foro para establecer sinergias entre todos los ámbitos: académico, asistencial e investigación (jornadas de investigación conjunta, defensas de los TFG o TFM, asistencia de los estudiantes a las sesiones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Pr="00F27819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clínicas enfermeras…)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60" w:type="dxa"/>
                </w:tcPr>
                <w:p w14:paraId="429DA95B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lastRenderedPageBreak/>
                    <w:t xml:space="preserve">Supervisor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Docencia e Investigación.</w:t>
                  </w:r>
                </w:p>
                <w:p w14:paraId="3576CF8B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2A04C5EA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Calidad y Formación.</w:t>
                  </w:r>
                </w:p>
                <w:p w14:paraId="14296140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1284936B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Sistemas de Información.</w:t>
                  </w:r>
                </w:p>
                <w:p w14:paraId="03182812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4C4D52D4" w14:textId="5F28813C" w:rsidR="00282219" w:rsidRPr="00954AE5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FE57C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2º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- 3º</w:t>
                  </w:r>
                  <w:r w:rsidRPr="00FE57C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 T 2023</w:t>
                  </w:r>
                </w:p>
              </w:tc>
              <w:tc>
                <w:tcPr>
                  <w:tcW w:w="2160" w:type="dxa"/>
                </w:tcPr>
                <w:p w14:paraId="50C5F6DB" w14:textId="7CAB223C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82219" w14:paraId="56325122" w14:textId="77777777" w:rsidTr="00282219">
              <w:tc>
                <w:tcPr>
                  <w:tcW w:w="2159" w:type="dxa"/>
                </w:tcPr>
                <w:p w14:paraId="5F66481D" w14:textId="77777777" w:rsidR="00282219" w:rsidRPr="00FA140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Crear un repositorio web.</w:t>
                  </w:r>
                </w:p>
              </w:tc>
              <w:tc>
                <w:tcPr>
                  <w:tcW w:w="2159" w:type="dxa"/>
                </w:tcPr>
                <w:p w14:paraId="71E971E6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Crear un repositorio en la intranet conteniendo los proyectos de investigación activos y finalizados.</w:t>
                  </w:r>
                </w:p>
              </w:tc>
              <w:tc>
                <w:tcPr>
                  <w:tcW w:w="2160" w:type="dxa"/>
                </w:tcPr>
                <w:p w14:paraId="23C37DF1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Docencia e Investigación.</w:t>
                  </w:r>
                </w:p>
                <w:p w14:paraId="1DC343EB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67115F24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Calidad y Formación.</w:t>
                  </w:r>
                </w:p>
                <w:p w14:paraId="207BE0F1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4B713080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Área de Sistemas de Información. </w:t>
                  </w:r>
                </w:p>
              </w:tc>
              <w:tc>
                <w:tcPr>
                  <w:tcW w:w="2160" w:type="dxa"/>
                </w:tcPr>
                <w:p w14:paraId="4791DA29" w14:textId="2FF2CC77" w:rsidR="00282219" w:rsidRPr="00954AE5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FE57C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2º T 2023</w:t>
                  </w:r>
                </w:p>
              </w:tc>
              <w:tc>
                <w:tcPr>
                  <w:tcW w:w="2160" w:type="dxa"/>
                </w:tcPr>
                <w:p w14:paraId="505E8C1F" w14:textId="4D6F72BF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82219" w14:paraId="1E7AB3E2" w14:textId="77777777" w:rsidTr="00282219">
              <w:tc>
                <w:tcPr>
                  <w:tcW w:w="2159" w:type="dxa"/>
                </w:tcPr>
                <w:p w14:paraId="635F7751" w14:textId="77777777" w:rsidR="00282219" w:rsidRPr="00FA140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Difundir lo que se hace y fomentar el trabajo en red.</w:t>
                  </w:r>
                </w:p>
              </w:tc>
              <w:tc>
                <w:tcPr>
                  <w:tcW w:w="2159" w:type="dxa"/>
                </w:tcPr>
                <w:p w14:paraId="607142D4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Crear boletines informativos trimestrales.</w:t>
                  </w:r>
                </w:p>
                <w:p w14:paraId="741DA823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30C840D9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Distribuir los boletines a través de correo electrónico, Intranet del Área, listas de distribución de RRSS y tablones de anuncios.</w:t>
                  </w:r>
                </w:p>
              </w:tc>
              <w:tc>
                <w:tcPr>
                  <w:tcW w:w="2160" w:type="dxa"/>
                </w:tcPr>
                <w:p w14:paraId="0D6CA1AC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Docencia e Investigación.</w:t>
                  </w:r>
                </w:p>
                <w:p w14:paraId="1B82F8FC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A96A98D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Calidad y Formación.</w:t>
                  </w:r>
                </w:p>
              </w:tc>
              <w:tc>
                <w:tcPr>
                  <w:tcW w:w="2160" w:type="dxa"/>
                </w:tcPr>
                <w:p w14:paraId="471FBAA4" w14:textId="109AB9C4" w:rsidR="00282219" w:rsidRPr="00954AE5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3</w:t>
                  </w:r>
                  <w:r w:rsidRPr="00FE57C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º-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4</w:t>
                  </w:r>
                  <w:r w:rsidRPr="00FE57C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º T 2023</w:t>
                  </w:r>
                </w:p>
              </w:tc>
              <w:tc>
                <w:tcPr>
                  <w:tcW w:w="2160" w:type="dxa"/>
                </w:tcPr>
                <w:p w14:paraId="50F33D12" w14:textId="416B2964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82219" w14:paraId="14407AFB" w14:textId="77777777" w:rsidTr="00282219">
              <w:tc>
                <w:tcPr>
                  <w:tcW w:w="2159" w:type="dxa"/>
                </w:tcPr>
                <w:p w14:paraId="64539E7F" w14:textId="77777777" w:rsidR="00282219" w:rsidRPr="000B407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Establecer foros de interrelación con investigadores/as de otras disciplinas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 y ámbitos</w:t>
                  </w: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 de la salud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59" w:type="dxa"/>
                </w:tcPr>
                <w:p w14:paraId="76F44D38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Organizar reuniones con grupos de investigación vinculados con el Instituto Murciano de Investigación Biosanitaria (IMIB), Universidad de Murcia y con la Fundación para la Formación e Investigación Sanitarias de la Región de Murcia (FFIS).</w:t>
                  </w:r>
                </w:p>
              </w:tc>
              <w:tc>
                <w:tcPr>
                  <w:tcW w:w="2160" w:type="dxa"/>
                </w:tcPr>
                <w:p w14:paraId="15434A71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Director y Subdirectores de Enfermería.</w:t>
                  </w:r>
                </w:p>
                <w:p w14:paraId="518B9682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7319E1AC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Docencia e Investigación.</w:t>
                  </w:r>
                </w:p>
              </w:tc>
              <w:tc>
                <w:tcPr>
                  <w:tcW w:w="2160" w:type="dxa"/>
                </w:tcPr>
                <w:p w14:paraId="13155B67" w14:textId="1AD54116" w:rsidR="00282219" w:rsidRPr="00954AE5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2023-1º T 2024</w:t>
                  </w:r>
                </w:p>
              </w:tc>
              <w:tc>
                <w:tcPr>
                  <w:tcW w:w="2160" w:type="dxa"/>
                </w:tcPr>
                <w:p w14:paraId="42F38BA1" w14:textId="27481333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82219" w14:paraId="5738D4BA" w14:textId="77777777" w:rsidTr="00282219">
              <w:tc>
                <w:tcPr>
                  <w:tcW w:w="2159" w:type="dxa"/>
                </w:tcPr>
                <w:p w14:paraId="08BA9A59" w14:textId="77777777" w:rsidR="00282219" w:rsidRPr="000B407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Favorecer la inclusión de enfermeras en los grupos/equipos de investigación multidisciplinares.</w:t>
                  </w:r>
                </w:p>
              </w:tc>
              <w:tc>
                <w:tcPr>
                  <w:tcW w:w="2159" w:type="dxa"/>
                </w:tcPr>
                <w:p w14:paraId="79BFED6B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Gestionar la inclusión de enfermeras en proyectos de investigación multidisciplinares.</w:t>
                  </w:r>
                </w:p>
                <w:p w14:paraId="53041EB3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601AAA8B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DB2DAB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Coordinar la participación de enfermeras en esos proyectos.</w:t>
                  </w:r>
                </w:p>
              </w:tc>
              <w:tc>
                <w:tcPr>
                  <w:tcW w:w="2160" w:type="dxa"/>
                </w:tcPr>
                <w:p w14:paraId="7A0D7773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Director y Subdirectores de Enfermería.</w:t>
                  </w:r>
                </w:p>
                <w:p w14:paraId="71AC78A0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09C8A17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Docencia e Investigación.</w:t>
                  </w:r>
                </w:p>
              </w:tc>
              <w:tc>
                <w:tcPr>
                  <w:tcW w:w="2160" w:type="dxa"/>
                </w:tcPr>
                <w:p w14:paraId="4A048638" w14:textId="022EBB44" w:rsidR="00282219" w:rsidRPr="00954AE5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60" w:type="dxa"/>
                </w:tcPr>
                <w:p w14:paraId="106A407E" w14:textId="35604A06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82219" w14:paraId="63757E06" w14:textId="77777777" w:rsidTr="00282219">
              <w:tc>
                <w:tcPr>
                  <w:tcW w:w="2159" w:type="dxa"/>
                </w:tcPr>
                <w:p w14:paraId="3A45B654" w14:textId="77777777" w:rsidR="00282219" w:rsidRPr="000B407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Facilitar la asistencia a foros científicos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 y </w:t>
                  </w: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la formación continuada.</w:t>
                  </w:r>
                </w:p>
              </w:tc>
              <w:tc>
                <w:tcPr>
                  <w:tcW w:w="2159" w:type="dxa"/>
                </w:tcPr>
                <w:p w14:paraId="1F709314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Establecer criterios para facilitar la asistencia a Jornadas, Congresos y formación relacionada con el puesto de trabajo.</w:t>
                  </w:r>
                </w:p>
              </w:tc>
              <w:tc>
                <w:tcPr>
                  <w:tcW w:w="2160" w:type="dxa"/>
                </w:tcPr>
                <w:p w14:paraId="3CC72295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Director y Subdirectores de Enfermería.</w:t>
                  </w:r>
                </w:p>
                <w:p w14:paraId="3E86906F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4B5FD827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Docencia e Investigación.</w:t>
                  </w:r>
                </w:p>
                <w:p w14:paraId="36F4243D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4F1F0A5B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Calidad y Formación.</w:t>
                  </w:r>
                </w:p>
              </w:tc>
              <w:tc>
                <w:tcPr>
                  <w:tcW w:w="2160" w:type="dxa"/>
                </w:tcPr>
                <w:p w14:paraId="09C4FE5E" w14:textId="55D2E41D" w:rsidR="00282219" w:rsidRPr="00954AE5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FE57C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lastRenderedPageBreak/>
                    <w:t>2º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Pr="00FE57C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T 2023</w:t>
                  </w:r>
                </w:p>
              </w:tc>
              <w:tc>
                <w:tcPr>
                  <w:tcW w:w="2160" w:type="dxa"/>
                </w:tcPr>
                <w:p w14:paraId="74DD28DC" w14:textId="2A9DFB78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82219" w14:paraId="5D946F14" w14:textId="77777777" w:rsidTr="00282219">
              <w:tc>
                <w:tcPr>
                  <w:tcW w:w="2159" w:type="dxa"/>
                </w:tcPr>
                <w:p w14:paraId="2D70A0FF" w14:textId="77777777" w:rsidR="00282219" w:rsidRPr="00911EE7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Potenciar la investigación/innovación en las figuras de enfermera de práctica avanzada (EPA). </w:t>
                  </w:r>
                </w:p>
                <w:p w14:paraId="54DD10EE" w14:textId="77777777" w:rsidR="00282219" w:rsidRPr="00911EE7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3FDF6070" w14:textId="77777777" w:rsidR="00282219" w:rsidRDefault="00282219" w:rsidP="00282219"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Abrir líneas de investigación lideradas por estas figuras. Grupos de trabajo nacionales.</w:t>
                  </w:r>
                </w:p>
              </w:tc>
              <w:tc>
                <w:tcPr>
                  <w:tcW w:w="2159" w:type="dxa"/>
                </w:tcPr>
                <w:p w14:paraId="77838AB1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Impulsar e implantar la figura de enfermera de práctica avanzada.</w:t>
                  </w:r>
                </w:p>
                <w:p w14:paraId="0C6C989F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3D27CA07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Iniciar líneas de investigación desde las consultas de Enfermedad Intestinal Inflamatoria, Heridas Crónicas y Estoma.</w:t>
                  </w:r>
                </w:p>
              </w:tc>
              <w:tc>
                <w:tcPr>
                  <w:tcW w:w="2160" w:type="dxa"/>
                </w:tcPr>
                <w:p w14:paraId="3A7E4636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Director y Subdirectores de Enfermería.</w:t>
                  </w:r>
                </w:p>
                <w:p w14:paraId="19584D07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6B8FBCFD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Docencia e Investigación.</w:t>
                  </w:r>
                </w:p>
              </w:tc>
              <w:tc>
                <w:tcPr>
                  <w:tcW w:w="2160" w:type="dxa"/>
                </w:tcPr>
                <w:p w14:paraId="0B5479E3" w14:textId="16860029" w:rsidR="00282219" w:rsidRPr="00954AE5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2023- 1º Y 2º T 2024</w:t>
                  </w:r>
                </w:p>
              </w:tc>
              <w:tc>
                <w:tcPr>
                  <w:tcW w:w="2160" w:type="dxa"/>
                </w:tcPr>
                <w:p w14:paraId="04521FA3" w14:textId="655F1278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82219" w14:paraId="3DB89728" w14:textId="77777777" w:rsidTr="00282219">
              <w:tc>
                <w:tcPr>
                  <w:tcW w:w="2159" w:type="dxa"/>
                </w:tcPr>
                <w:p w14:paraId="22763B51" w14:textId="77777777" w:rsidR="00282219" w:rsidRPr="000B407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Fomentar la investigación e innovación de los mandos intermedios.</w:t>
                  </w:r>
                </w:p>
              </w:tc>
              <w:tc>
                <w:tcPr>
                  <w:tcW w:w="2159" w:type="dxa"/>
                </w:tcPr>
                <w:p w14:paraId="2CCE5F3B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Organizar formación específica en materia de investigación para mandos intermedios.</w:t>
                  </w:r>
                </w:p>
                <w:p w14:paraId="042814E2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10B5C94B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6241CE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Iniciar líneas de investigación relacionadas con la gestión sanitaria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60" w:type="dxa"/>
                </w:tcPr>
                <w:p w14:paraId="28F7F5A6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Director y Subdirectores de Enfermería.</w:t>
                  </w:r>
                </w:p>
                <w:p w14:paraId="4B97AC02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14AEA63D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Docencia e Investigación.</w:t>
                  </w:r>
                </w:p>
                <w:p w14:paraId="0B2C4004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3BA0825D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Calidad y Formación.</w:t>
                  </w:r>
                </w:p>
              </w:tc>
              <w:tc>
                <w:tcPr>
                  <w:tcW w:w="2160" w:type="dxa"/>
                </w:tcPr>
                <w:p w14:paraId="7371716D" w14:textId="2DC0E449" w:rsidR="00282219" w:rsidRPr="00954AE5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FE57C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60" w:type="dxa"/>
                </w:tcPr>
                <w:p w14:paraId="17B60A5F" w14:textId="42D4A958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82219" w14:paraId="1D39E80B" w14:textId="77777777" w:rsidTr="00282219">
              <w:tc>
                <w:tcPr>
                  <w:tcW w:w="2159" w:type="dxa"/>
                </w:tcPr>
                <w:p w14:paraId="6D8BBFA8" w14:textId="77777777" w:rsidR="00282219" w:rsidRPr="000B407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Identificar necesidades de investigación en la evaluación de la práctica asistencial.</w:t>
                  </w:r>
                </w:p>
              </w:tc>
              <w:tc>
                <w:tcPr>
                  <w:tcW w:w="2159" w:type="dxa"/>
                </w:tcPr>
                <w:p w14:paraId="25447FFA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Monitorizar indicadores de cuidados de enfermería.</w:t>
                  </w:r>
                </w:p>
                <w:p w14:paraId="4FEE5BAE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6401574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6241CE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Identificar oportunidades de mejora.</w:t>
                  </w:r>
                </w:p>
              </w:tc>
              <w:tc>
                <w:tcPr>
                  <w:tcW w:w="2160" w:type="dxa"/>
                </w:tcPr>
                <w:p w14:paraId="6383C48D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Docencia e Investigación.</w:t>
                  </w:r>
                </w:p>
                <w:p w14:paraId="51184504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2B1C8498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Calidad y Formación.</w:t>
                  </w:r>
                </w:p>
                <w:p w14:paraId="00178268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20F27253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Sistemas de Información.</w:t>
                  </w:r>
                </w:p>
              </w:tc>
              <w:tc>
                <w:tcPr>
                  <w:tcW w:w="2160" w:type="dxa"/>
                </w:tcPr>
                <w:p w14:paraId="03C4DAA7" w14:textId="5C02919F" w:rsidR="00282219" w:rsidRPr="00954AE5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FE57C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2023- 1º Y 2º T 2024</w:t>
                  </w:r>
                </w:p>
              </w:tc>
              <w:tc>
                <w:tcPr>
                  <w:tcW w:w="2160" w:type="dxa"/>
                </w:tcPr>
                <w:p w14:paraId="1018A9E1" w14:textId="62196858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82219" w14:paraId="7D8EE02B" w14:textId="77777777" w:rsidTr="00282219">
              <w:tc>
                <w:tcPr>
                  <w:tcW w:w="2159" w:type="dxa"/>
                </w:tcPr>
                <w:p w14:paraId="5187B687" w14:textId="77777777" w:rsidR="00282219" w:rsidRPr="000B407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Impulsar la traslación a la práctica clínica de los resultados de la investigación e innovación.</w:t>
                  </w:r>
                </w:p>
              </w:tc>
              <w:tc>
                <w:tcPr>
                  <w:tcW w:w="2159" w:type="dxa"/>
                </w:tcPr>
                <w:p w14:paraId="5E722C49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Actualización de circuitos, protocolos, procedimientos y vías clínicas.</w:t>
                  </w:r>
                </w:p>
                <w:p w14:paraId="5D19E527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4578F3F1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B93281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Fomentar la transferencia de resultados.</w:t>
                  </w:r>
                </w:p>
                <w:p w14:paraId="4C33382C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63FEBEBB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B93281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Implantar asistencialmente programas derivados de los resultados obtenidos desde la evidencia científica.</w:t>
                  </w:r>
                </w:p>
              </w:tc>
              <w:tc>
                <w:tcPr>
                  <w:tcW w:w="2160" w:type="dxa"/>
                </w:tcPr>
                <w:p w14:paraId="3EE80877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Docencia e Investigación.</w:t>
                  </w:r>
                </w:p>
                <w:p w14:paraId="669992B9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2C9EA6B7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Calidad y Formación.</w:t>
                  </w:r>
                </w:p>
                <w:p w14:paraId="5D6E7659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71BF1330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Sistemas de Información.</w:t>
                  </w:r>
                </w:p>
              </w:tc>
              <w:tc>
                <w:tcPr>
                  <w:tcW w:w="2160" w:type="dxa"/>
                </w:tcPr>
                <w:p w14:paraId="0328EA81" w14:textId="69995714" w:rsidR="00282219" w:rsidRPr="00954AE5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FE57C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2023- 1º Y 2º T 2024</w:t>
                  </w:r>
                </w:p>
              </w:tc>
              <w:tc>
                <w:tcPr>
                  <w:tcW w:w="2160" w:type="dxa"/>
                </w:tcPr>
                <w:p w14:paraId="4A5016FE" w14:textId="3204F49D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82219" w14:paraId="6FAA3EE0" w14:textId="77777777" w:rsidTr="00282219">
              <w:tc>
                <w:tcPr>
                  <w:tcW w:w="2159" w:type="dxa"/>
                </w:tcPr>
                <w:p w14:paraId="6D3ABFEA" w14:textId="77777777" w:rsidR="00282219" w:rsidRDefault="00282219" w:rsidP="00282219">
                  <w:r w:rsidRPr="00911EE7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Vincular la práctica clínica y la investigación.</w:t>
                  </w:r>
                </w:p>
              </w:tc>
              <w:tc>
                <w:tcPr>
                  <w:tcW w:w="2159" w:type="dxa"/>
                </w:tcPr>
                <w:p w14:paraId="01E15C3D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Adherirse al proyecto “Sumamos Excelencia” para implantación de recomendaciones en el manejo del dolor y la incontinencia urinaria.</w:t>
                  </w:r>
                </w:p>
              </w:tc>
              <w:tc>
                <w:tcPr>
                  <w:tcW w:w="2160" w:type="dxa"/>
                </w:tcPr>
                <w:p w14:paraId="3D9C36C0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Director y Subdirectores de Enfermería.</w:t>
                  </w:r>
                </w:p>
                <w:p w14:paraId="2CED2C22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21C2F0AA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Docencia e Investigación.</w:t>
                  </w:r>
                </w:p>
                <w:p w14:paraId="4E977B34" w14:textId="77777777" w:rsidR="00282219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245E64BE" w14:textId="77777777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954AE5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Supervisora de 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Área de Calidad y Formación.</w:t>
                  </w:r>
                </w:p>
              </w:tc>
              <w:tc>
                <w:tcPr>
                  <w:tcW w:w="2160" w:type="dxa"/>
                </w:tcPr>
                <w:p w14:paraId="7BF1273C" w14:textId="3AAE7DB2" w:rsidR="00282219" w:rsidRPr="00954AE5" w:rsidRDefault="00282219" w:rsidP="00282219">
                  <w:pPr>
                    <w:jc w:val="center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2160" w:type="dxa"/>
                </w:tcPr>
                <w:p w14:paraId="544B813F" w14:textId="53B90492" w:rsidR="00282219" w:rsidRPr="00954AE5" w:rsidRDefault="00282219" w:rsidP="00282219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538BA59C" w14:textId="77777777" w:rsidR="00CF5C52" w:rsidRPr="007A0374" w:rsidRDefault="00CF5C52" w:rsidP="00CF5C52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14:paraId="4ABCEDEE" w14:textId="77777777" w:rsidR="0082579F" w:rsidRPr="00617FE8" w:rsidRDefault="0082579F" w:rsidP="00512D8C">
            <w:pPr>
              <w:spacing w:line="360" w:lineRule="auto"/>
              <w:ind w:left="72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14:paraId="2971BDBC" w14:textId="77777777" w:rsidR="0082579F" w:rsidRPr="00617FE8" w:rsidRDefault="0082579F" w:rsidP="00512D8C">
            <w:pPr>
              <w:spacing w:line="360" w:lineRule="auto"/>
              <w:ind w:left="72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14:paraId="14B6AEC5" w14:textId="77777777" w:rsidR="0082579F" w:rsidRPr="00617FE8" w:rsidRDefault="0082579F" w:rsidP="00512D8C">
            <w:pPr>
              <w:spacing w:line="360" w:lineRule="auto"/>
              <w:ind w:left="72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14:paraId="5763C833" w14:textId="0B88A88C" w:rsidR="0082579F" w:rsidRPr="00617FE8" w:rsidRDefault="0082579F" w:rsidP="00512D8C">
            <w:pPr>
              <w:spacing w:line="360" w:lineRule="auto"/>
              <w:ind w:left="720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45D165BF" w14:textId="049BE898" w:rsidR="00F573C2" w:rsidRDefault="00F573C2" w:rsidP="001956DC"/>
    <w:p w14:paraId="6C36C10B" w14:textId="0B98BB2F" w:rsidR="00DD0B9D" w:rsidRPr="00DD0B9D" w:rsidRDefault="00DD0B9D" w:rsidP="00DD0B9D"/>
    <w:p w14:paraId="7D51BB09" w14:textId="4381349E" w:rsidR="00DD0B9D" w:rsidRPr="00DD0B9D" w:rsidRDefault="00DD0B9D" w:rsidP="00DD0B9D"/>
    <w:p w14:paraId="4ECC5E0D" w14:textId="1140EB99" w:rsidR="00DD0B9D" w:rsidRPr="00DD0B9D" w:rsidRDefault="00DD0B9D" w:rsidP="00DD0B9D"/>
    <w:p w14:paraId="029AFC04" w14:textId="0EC2D81C" w:rsidR="00DD0B9D" w:rsidRPr="00DD0B9D" w:rsidRDefault="00DD0B9D" w:rsidP="00DD0B9D"/>
    <w:p w14:paraId="63E9558E" w14:textId="09841FF3" w:rsidR="00DD0B9D" w:rsidRPr="00DD0B9D" w:rsidRDefault="00DD0B9D" w:rsidP="00DD0B9D"/>
    <w:p w14:paraId="2CCA6E51" w14:textId="6CF6E660" w:rsidR="00DD0B9D" w:rsidRPr="00DD0B9D" w:rsidRDefault="00DD0B9D" w:rsidP="00DD0B9D"/>
    <w:p w14:paraId="56F0DF9E" w14:textId="71BF9C38" w:rsidR="00DD0B9D" w:rsidRPr="00DD0B9D" w:rsidRDefault="00DD0B9D" w:rsidP="00DD0B9D"/>
    <w:p w14:paraId="5ED8F8CB" w14:textId="44CD65AD" w:rsidR="00DD0B9D" w:rsidRPr="00DD0B9D" w:rsidRDefault="00DD0B9D" w:rsidP="00DD0B9D"/>
    <w:p w14:paraId="16C28733" w14:textId="3FC971D7" w:rsidR="00DD0B9D" w:rsidRPr="00DD0B9D" w:rsidRDefault="00DD0B9D" w:rsidP="00DD0B9D"/>
    <w:p w14:paraId="2E21156E" w14:textId="463FEC03" w:rsidR="00DD0B9D" w:rsidRPr="00DD0B9D" w:rsidRDefault="00DD0B9D" w:rsidP="00DD0B9D"/>
    <w:p w14:paraId="1D4DFAC5" w14:textId="539A1C93" w:rsidR="00DD0B9D" w:rsidRPr="00DD0B9D" w:rsidRDefault="00DD0B9D" w:rsidP="00DD0B9D"/>
    <w:p w14:paraId="5A471868" w14:textId="77777777" w:rsidR="00DD0B9D" w:rsidRPr="00DD0B9D" w:rsidRDefault="00DD0B9D" w:rsidP="00DD0B9D">
      <w:pPr>
        <w:jc w:val="center"/>
      </w:pPr>
    </w:p>
    <w:sectPr w:rsidR="00DD0B9D" w:rsidRPr="00DD0B9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85B7" w14:textId="77777777" w:rsidR="00182253" w:rsidRDefault="00182253" w:rsidP="005552A4">
      <w:pPr>
        <w:spacing w:after="0" w:line="240" w:lineRule="auto"/>
      </w:pPr>
      <w:r>
        <w:separator/>
      </w:r>
    </w:p>
  </w:endnote>
  <w:endnote w:type="continuationSeparator" w:id="0">
    <w:p w14:paraId="3058BC69" w14:textId="77777777" w:rsidR="00182253" w:rsidRDefault="00182253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112DC6" w:rsidRDefault="00617FE8" w:rsidP="00B4233E">
    <w:pPr>
      <w:pStyle w:val="Piedepgina"/>
      <w:jc w:val="center"/>
    </w:pPr>
    <w:r>
      <w:rPr>
        <w:noProof/>
      </w:rPr>
      <w:drawing>
        <wp:inline distT="0" distB="0" distL="0" distR="0" wp14:anchorId="094C29FB" wp14:editId="49F3334C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D85" w14:textId="77777777" w:rsidR="00182253" w:rsidRDefault="00182253" w:rsidP="005552A4">
      <w:pPr>
        <w:spacing w:after="0" w:line="240" w:lineRule="auto"/>
      </w:pPr>
      <w:r>
        <w:separator/>
      </w:r>
    </w:p>
  </w:footnote>
  <w:footnote w:type="continuationSeparator" w:id="0">
    <w:p w14:paraId="1D7D0CF7" w14:textId="77777777" w:rsidR="00182253" w:rsidRDefault="00182253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1FA3"/>
    <w:multiLevelType w:val="hybridMultilevel"/>
    <w:tmpl w:val="CC30C6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456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26DFC"/>
    <w:rsid w:val="00066D0D"/>
    <w:rsid w:val="00071B3D"/>
    <w:rsid w:val="00084C25"/>
    <w:rsid w:val="000B42EE"/>
    <w:rsid w:val="000E2771"/>
    <w:rsid w:val="000F30B6"/>
    <w:rsid w:val="00112DC6"/>
    <w:rsid w:val="00136429"/>
    <w:rsid w:val="00155659"/>
    <w:rsid w:val="00182253"/>
    <w:rsid w:val="001956DC"/>
    <w:rsid w:val="001D388C"/>
    <w:rsid w:val="00277A32"/>
    <w:rsid w:val="00282219"/>
    <w:rsid w:val="002C0359"/>
    <w:rsid w:val="0030056B"/>
    <w:rsid w:val="00305537"/>
    <w:rsid w:val="00355833"/>
    <w:rsid w:val="0036588D"/>
    <w:rsid w:val="00386A7B"/>
    <w:rsid w:val="003B314F"/>
    <w:rsid w:val="003C7CF1"/>
    <w:rsid w:val="00412CEA"/>
    <w:rsid w:val="00430523"/>
    <w:rsid w:val="00445CFF"/>
    <w:rsid w:val="004603D1"/>
    <w:rsid w:val="00462C71"/>
    <w:rsid w:val="004A2E5A"/>
    <w:rsid w:val="00534DC5"/>
    <w:rsid w:val="00536F06"/>
    <w:rsid w:val="005552A4"/>
    <w:rsid w:val="00566458"/>
    <w:rsid w:val="005940F7"/>
    <w:rsid w:val="005B2FAE"/>
    <w:rsid w:val="0060664F"/>
    <w:rsid w:val="00617FE8"/>
    <w:rsid w:val="00624DFE"/>
    <w:rsid w:val="00632670"/>
    <w:rsid w:val="00655F68"/>
    <w:rsid w:val="00681142"/>
    <w:rsid w:val="0069588D"/>
    <w:rsid w:val="006A182A"/>
    <w:rsid w:val="006D34E6"/>
    <w:rsid w:val="00704537"/>
    <w:rsid w:val="00717114"/>
    <w:rsid w:val="007217B7"/>
    <w:rsid w:val="00760D67"/>
    <w:rsid w:val="00762D8A"/>
    <w:rsid w:val="00791F6E"/>
    <w:rsid w:val="0082579F"/>
    <w:rsid w:val="008426AA"/>
    <w:rsid w:val="008C7B94"/>
    <w:rsid w:val="008E0E7F"/>
    <w:rsid w:val="008F0F8E"/>
    <w:rsid w:val="009648B7"/>
    <w:rsid w:val="009A7AA0"/>
    <w:rsid w:val="009E6B7C"/>
    <w:rsid w:val="00A271C1"/>
    <w:rsid w:val="00A83BD2"/>
    <w:rsid w:val="00AC3624"/>
    <w:rsid w:val="00B4233E"/>
    <w:rsid w:val="00B60B6E"/>
    <w:rsid w:val="00B74405"/>
    <w:rsid w:val="00BA6179"/>
    <w:rsid w:val="00BB4C52"/>
    <w:rsid w:val="00BC0719"/>
    <w:rsid w:val="00BC2ED4"/>
    <w:rsid w:val="00BE7499"/>
    <w:rsid w:val="00C20121"/>
    <w:rsid w:val="00C95BA3"/>
    <w:rsid w:val="00CF5C52"/>
    <w:rsid w:val="00D20DD4"/>
    <w:rsid w:val="00D22E8D"/>
    <w:rsid w:val="00D3778F"/>
    <w:rsid w:val="00D86A7B"/>
    <w:rsid w:val="00DB740B"/>
    <w:rsid w:val="00DD073A"/>
    <w:rsid w:val="00DD0B9D"/>
    <w:rsid w:val="00DD4CC0"/>
    <w:rsid w:val="00DE56C1"/>
    <w:rsid w:val="00E3454B"/>
    <w:rsid w:val="00E4334C"/>
    <w:rsid w:val="00E74966"/>
    <w:rsid w:val="00EB11F4"/>
    <w:rsid w:val="00ED5DCF"/>
    <w:rsid w:val="00ED6EE7"/>
    <w:rsid w:val="00EE476C"/>
    <w:rsid w:val="00F104F0"/>
    <w:rsid w:val="00F15D16"/>
    <w:rsid w:val="00F5683B"/>
    <w:rsid w:val="00F573C2"/>
    <w:rsid w:val="00F757FC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table" w:styleId="Tablaconcuadrcula">
    <w:name w:val="Table Grid"/>
    <w:basedOn w:val="Tablanormal"/>
    <w:uiPriority w:val="59"/>
    <w:rsid w:val="00CF5C5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05DD-9A78-49CE-AB72-CBD54773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2688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jose maria gonzalez gay</cp:lastModifiedBy>
  <cp:revision>2</cp:revision>
  <dcterms:created xsi:type="dcterms:W3CDTF">2023-03-13T21:29:00Z</dcterms:created>
  <dcterms:modified xsi:type="dcterms:W3CDTF">2023-03-13T21:29:00Z</dcterms:modified>
</cp:coreProperties>
</file>